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D82" w:rsidRPr="00DA2D82" w:rsidRDefault="00DA2D82" w:rsidP="00DA2D82">
      <w:pPr>
        <w:spacing w:before="225" w:after="225" w:line="240" w:lineRule="auto"/>
        <w:ind w:left="225" w:right="225"/>
        <w:outlineLvl w:val="1"/>
        <w:rPr>
          <w:rFonts w:ascii="Georgia" w:eastAsia="Times New Roman" w:hAnsi="Georgia" w:cs="Times New Roman"/>
          <w:b/>
          <w:bCs/>
          <w:color w:val="000000"/>
          <w:sz w:val="34"/>
          <w:szCs w:val="34"/>
        </w:rPr>
      </w:pPr>
      <w:r w:rsidRPr="00DA2D82">
        <w:rPr>
          <w:rFonts w:ascii="Georgia" w:eastAsia="Times New Roman" w:hAnsi="Georgia" w:cs="Times New Roman"/>
          <w:b/>
          <w:bCs/>
          <w:color w:val="000000"/>
          <w:sz w:val="34"/>
          <w:szCs w:val="34"/>
        </w:rPr>
        <w:t>Comparison chart</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Caption w:val="IDE vs. SATA comparison chart"/>
        <w:tblDescription w:val="IDE versus SATA comparison chart"/>
      </w:tblPr>
      <w:tblGrid>
        <w:gridCol w:w="2430"/>
        <w:gridCol w:w="3870"/>
        <w:gridCol w:w="3755"/>
      </w:tblGrid>
      <w:tr w:rsidR="00DA2D82" w:rsidRPr="00DA2D82" w:rsidTr="00DE3E96">
        <w:trPr>
          <w:tblHeader/>
        </w:trPr>
        <w:tc>
          <w:tcPr>
            <w:tcW w:w="2430" w:type="dxa"/>
            <w:tcMar>
              <w:top w:w="15" w:type="dxa"/>
              <w:left w:w="15" w:type="dxa"/>
              <w:bottom w:w="150" w:type="dxa"/>
              <w:right w:w="15" w:type="dxa"/>
            </w:tcMar>
            <w:vAlign w:val="center"/>
            <w:hideMark/>
          </w:tcPr>
          <w:p w:rsidR="00DA2D82" w:rsidRPr="004E6A95" w:rsidRDefault="004E6A95" w:rsidP="004E6A95">
            <w:pPr>
              <w:spacing w:before="120" w:after="0" w:line="240" w:lineRule="auto"/>
              <w:ind w:right="225"/>
              <w:outlineLvl w:val="2"/>
              <w:rPr>
                <w:rFonts w:ascii="Georgia" w:eastAsia="Times New Roman" w:hAnsi="Georgia" w:cs="Times New Roman"/>
                <w:b/>
                <w:bCs/>
                <w:color w:val="000000"/>
                <w:sz w:val="30"/>
                <w:szCs w:val="30"/>
              </w:rPr>
            </w:pPr>
            <w:r w:rsidRPr="004E6A95">
              <w:rPr>
                <w:rFonts w:ascii="Georgia" w:eastAsia="Times New Roman" w:hAnsi="Georgia" w:cs="Times New Roman"/>
                <w:b/>
                <w:bCs/>
                <w:color w:val="000000"/>
                <w:sz w:val="30"/>
                <w:szCs w:val="30"/>
              </w:rPr>
              <w:t>Attributes</w:t>
            </w:r>
          </w:p>
        </w:tc>
        <w:tc>
          <w:tcPr>
            <w:tcW w:w="3870" w:type="dxa"/>
            <w:tcMar>
              <w:top w:w="15" w:type="dxa"/>
              <w:left w:w="120" w:type="dxa"/>
              <w:bottom w:w="300" w:type="dxa"/>
              <w:right w:w="120" w:type="dxa"/>
            </w:tcMar>
            <w:hideMark/>
          </w:tcPr>
          <w:p w:rsidR="00DA2D82" w:rsidRPr="00DA2D82" w:rsidRDefault="00DA2D82" w:rsidP="00DA2D82">
            <w:pPr>
              <w:spacing w:before="120" w:after="0" w:line="240" w:lineRule="auto"/>
              <w:ind w:right="225"/>
              <w:outlineLvl w:val="2"/>
              <w:rPr>
                <w:rFonts w:ascii="Georgia" w:eastAsia="Times New Roman" w:hAnsi="Georgia" w:cs="Times New Roman"/>
                <w:b/>
                <w:bCs/>
                <w:color w:val="000000"/>
                <w:sz w:val="30"/>
                <w:szCs w:val="30"/>
              </w:rPr>
            </w:pPr>
            <w:r w:rsidRPr="00DA2D82">
              <w:rPr>
                <w:rFonts w:ascii="Georgia" w:eastAsia="Times New Roman" w:hAnsi="Georgia" w:cs="Times New Roman"/>
                <w:b/>
                <w:bCs/>
                <w:color w:val="000000"/>
                <w:sz w:val="30"/>
                <w:szCs w:val="30"/>
              </w:rPr>
              <w:t>IDE</w:t>
            </w:r>
          </w:p>
        </w:tc>
        <w:tc>
          <w:tcPr>
            <w:tcW w:w="3755" w:type="dxa"/>
            <w:tcMar>
              <w:top w:w="15" w:type="dxa"/>
              <w:left w:w="120" w:type="dxa"/>
              <w:bottom w:w="300" w:type="dxa"/>
              <w:right w:w="120" w:type="dxa"/>
            </w:tcMar>
            <w:hideMark/>
          </w:tcPr>
          <w:p w:rsidR="00DA2D82" w:rsidRPr="00DA2D82" w:rsidRDefault="00DA2D82" w:rsidP="00DA2D82">
            <w:pPr>
              <w:spacing w:before="120" w:after="0" w:line="240" w:lineRule="auto"/>
              <w:ind w:right="225"/>
              <w:outlineLvl w:val="2"/>
              <w:rPr>
                <w:rFonts w:ascii="Georgia" w:eastAsia="Times New Roman" w:hAnsi="Georgia" w:cs="Times New Roman"/>
                <w:b/>
                <w:bCs/>
                <w:color w:val="000000"/>
                <w:sz w:val="30"/>
                <w:szCs w:val="30"/>
              </w:rPr>
            </w:pPr>
            <w:r w:rsidRPr="00DA2D82">
              <w:rPr>
                <w:rFonts w:ascii="Georgia" w:eastAsia="Times New Roman" w:hAnsi="Georgia" w:cs="Times New Roman"/>
                <w:b/>
                <w:bCs/>
                <w:color w:val="000000"/>
                <w:sz w:val="30"/>
                <w:szCs w:val="30"/>
              </w:rPr>
              <w:t>SATA</w:t>
            </w:r>
          </w:p>
        </w:tc>
      </w:tr>
      <w:tr w:rsidR="00DA2D82" w:rsidRPr="00DA2D82" w:rsidTr="00DE3E96">
        <w:tc>
          <w:tcPr>
            <w:tcW w:w="2430" w:type="dxa"/>
            <w:tcMar>
              <w:top w:w="75" w:type="dxa"/>
              <w:left w:w="0" w:type="dxa"/>
              <w:bottom w:w="75" w:type="dxa"/>
              <w:right w:w="75" w:type="dxa"/>
            </w:tcMar>
            <w:vAlign w:val="center"/>
            <w:hideMark/>
          </w:tcPr>
          <w:p w:rsidR="00DA2D82" w:rsidRPr="00DA2D82" w:rsidRDefault="00DA2D82" w:rsidP="004E6A95">
            <w:pPr>
              <w:spacing w:after="0" w:line="360" w:lineRule="atLeast"/>
              <w:jc w:val="center"/>
              <w:rPr>
                <w:rFonts w:ascii="Georgia" w:eastAsia="Times New Roman" w:hAnsi="Georgia" w:cs="Times New Roman"/>
                <w:b/>
                <w:bCs/>
                <w:color w:val="000000"/>
                <w:sz w:val="24"/>
                <w:szCs w:val="24"/>
              </w:rPr>
            </w:pPr>
            <w:r w:rsidRPr="00DA2D82">
              <w:rPr>
                <w:rFonts w:ascii="Georgia" w:eastAsia="Times New Roman" w:hAnsi="Georgia" w:cs="Times New Roman"/>
                <w:b/>
                <w:bCs/>
                <w:color w:val="000000"/>
                <w:sz w:val="24"/>
                <w:szCs w:val="24"/>
              </w:rPr>
              <w:t>Stands for / AKA</w:t>
            </w:r>
          </w:p>
        </w:tc>
        <w:tc>
          <w:tcPr>
            <w:tcW w:w="3870"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 xml:space="preserve">IDE: Integrated Drive Electronics / PATA: </w:t>
            </w:r>
            <w:r w:rsidRPr="004E6A95">
              <w:rPr>
                <w:rFonts w:ascii="Georgia" w:eastAsia="Times New Roman" w:hAnsi="Georgia" w:cs="Times New Roman"/>
                <w:color w:val="000000"/>
                <w:sz w:val="24"/>
                <w:szCs w:val="24"/>
                <w:u w:val="single"/>
              </w:rPr>
              <w:t>Parallel</w:t>
            </w:r>
            <w:r w:rsidRPr="00DA2D82">
              <w:rPr>
                <w:rFonts w:ascii="Georgia" w:eastAsia="Times New Roman" w:hAnsi="Georgia" w:cs="Times New Roman"/>
                <w:color w:val="000000"/>
                <w:sz w:val="24"/>
                <w:szCs w:val="24"/>
              </w:rPr>
              <w:t xml:space="preserve"> Advanced Technology Attachment</w:t>
            </w:r>
          </w:p>
        </w:tc>
        <w:tc>
          <w:tcPr>
            <w:tcW w:w="3755"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 xml:space="preserve">Serial ATA or </w:t>
            </w:r>
            <w:r w:rsidRPr="004E6A95">
              <w:rPr>
                <w:rFonts w:ascii="Georgia" w:eastAsia="Times New Roman" w:hAnsi="Georgia" w:cs="Times New Roman"/>
                <w:color w:val="000000"/>
                <w:sz w:val="24"/>
                <w:szCs w:val="24"/>
                <w:u w:val="single"/>
              </w:rPr>
              <w:t>Serial</w:t>
            </w:r>
            <w:r w:rsidRPr="00DA2D82">
              <w:rPr>
                <w:rFonts w:ascii="Georgia" w:eastAsia="Times New Roman" w:hAnsi="Georgia" w:cs="Times New Roman"/>
                <w:color w:val="000000"/>
                <w:sz w:val="24"/>
                <w:szCs w:val="24"/>
              </w:rPr>
              <w:t xml:space="preserve"> Advanced Technology Attachment.</w:t>
            </w:r>
          </w:p>
        </w:tc>
      </w:tr>
      <w:tr w:rsidR="00DA2D82" w:rsidRPr="00DA2D82" w:rsidTr="00DE3E96">
        <w:tc>
          <w:tcPr>
            <w:tcW w:w="2430" w:type="dxa"/>
            <w:tcMar>
              <w:top w:w="75" w:type="dxa"/>
              <w:left w:w="0" w:type="dxa"/>
              <w:bottom w:w="75" w:type="dxa"/>
              <w:right w:w="75" w:type="dxa"/>
            </w:tcMar>
            <w:vAlign w:val="center"/>
            <w:hideMark/>
          </w:tcPr>
          <w:p w:rsidR="00DA2D82" w:rsidRPr="00DA2D82" w:rsidRDefault="00DA2D82" w:rsidP="004E6A95">
            <w:pPr>
              <w:spacing w:after="0" w:line="360" w:lineRule="atLeast"/>
              <w:jc w:val="center"/>
              <w:rPr>
                <w:rFonts w:ascii="Georgia" w:eastAsia="Times New Roman" w:hAnsi="Georgia" w:cs="Times New Roman"/>
                <w:b/>
                <w:bCs/>
                <w:color w:val="000000"/>
                <w:sz w:val="24"/>
                <w:szCs w:val="24"/>
              </w:rPr>
            </w:pPr>
            <w:r w:rsidRPr="00DA2D82">
              <w:rPr>
                <w:rFonts w:ascii="Georgia" w:eastAsia="Times New Roman" w:hAnsi="Georgia" w:cs="Times New Roman"/>
                <w:b/>
                <w:bCs/>
                <w:color w:val="000000"/>
                <w:sz w:val="24"/>
                <w:szCs w:val="24"/>
              </w:rPr>
              <w:t>Advantages</w:t>
            </w:r>
          </w:p>
        </w:tc>
        <w:tc>
          <w:tcPr>
            <w:tcW w:w="3870"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Maximum compatibility</w:t>
            </w:r>
          </w:p>
        </w:tc>
        <w:tc>
          <w:tcPr>
            <w:tcW w:w="3755"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Inexpensive, large storage capacity.</w:t>
            </w:r>
          </w:p>
        </w:tc>
      </w:tr>
      <w:tr w:rsidR="00DA2D82" w:rsidRPr="00DA2D82" w:rsidTr="00DE3E96">
        <w:tc>
          <w:tcPr>
            <w:tcW w:w="2430" w:type="dxa"/>
            <w:tcMar>
              <w:top w:w="75" w:type="dxa"/>
              <w:left w:w="0" w:type="dxa"/>
              <w:bottom w:w="75" w:type="dxa"/>
              <w:right w:w="75" w:type="dxa"/>
            </w:tcMar>
            <w:vAlign w:val="center"/>
            <w:hideMark/>
          </w:tcPr>
          <w:p w:rsidR="00DA2D82" w:rsidRPr="00DA2D82" w:rsidRDefault="00DA2D82" w:rsidP="004E6A95">
            <w:pPr>
              <w:spacing w:after="0" w:line="360" w:lineRule="atLeast"/>
              <w:jc w:val="center"/>
              <w:rPr>
                <w:rFonts w:ascii="Georgia" w:eastAsia="Times New Roman" w:hAnsi="Georgia" w:cs="Times New Roman"/>
                <w:b/>
                <w:bCs/>
                <w:color w:val="000000"/>
                <w:sz w:val="24"/>
                <w:szCs w:val="24"/>
              </w:rPr>
            </w:pPr>
            <w:r w:rsidRPr="00DA2D82">
              <w:rPr>
                <w:rFonts w:ascii="Georgia" w:eastAsia="Times New Roman" w:hAnsi="Georgia" w:cs="Times New Roman"/>
                <w:b/>
                <w:bCs/>
                <w:color w:val="000000"/>
                <w:sz w:val="24"/>
                <w:szCs w:val="24"/>
              </w:rPr>
              <w:t>Disadvantages</w:t>
            </w:r>
          </w:p>
        </w:tc>
        <w:tc>
          <w:tcPr>
            <w:tcW w:w="3870"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Lacks support for new technology such as native command queuing and hot-plugging hard drives</w:t>
            </w:r>
          </w:p>
        </w:tc>
        <w:tc>
          <w:tcPr>
            <w:tcW w:w="3755"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Lower </w:t>
            </w:r>
            <w:hyperlink r:id="rId5" w:history="1">
              <w:r w:rsidRPr="00DA2D82">
                <w:rPr>
                  <w:rFonts w:ascii="Georgia" w:eastAsia="Times New Roman" w:hAnsi="Georgia" w:cs="Times New Roman"/>
                  <w:color w:val="07798E"/>
                  <w:sz w:val="24"/>
                  <w:szCs w:val="24"/>
                  <w:u w:val="single"/>
                </w:rPr>
                <w:t>MTBF</w:t>
              </w:r>
            </w:hyperlink>
            <w:r w:rsidRPr="00DA2D82">
              <w:rPr>
                <w:rFonts w:ascii="Georgia" w:eastAsia="Times New Roman" w:hAnsi="Georgia" w:cs="Times New Roman"/>
                <w:color w:val="000000"/>
                <w:sz w:val="24"/>
                <w:szCs w:val="24"/>
              </w:rPr>
              <w:t> than </w:t>
            </w:r>
            <w:hyperlink r:id="rId6" w:history="1">
              <w:r w:rsidRPr="00DA2D82">
                <w:rPr>
                  <w:rFonts w:ascii="Georgia" w:eastAsia="Times New Roman" w:hAnsi="Georgia" w:cs="Times New Roman"/>
                  <w:color w:val="07798E"/>
                  <w:sz w:val="24"/>
                  <w:szCs w:val="24"/>
                  <w:u w:val="single"/>
                </w:rPr>
                <w:t>SAS</w:t>
              </w:r>
            </w:hyperlink>
            <w:r w:rsidRPr="00DA2D82">
              <w:rPr>
                <w:rFonts w:ascii="Georgia" w:eastAsia="Times New Roman" w:hAnsi="Georgia" w:cs="Times New Roman"/>
                <w:color w:val="000000"/>
                <w:sz w:val="24"/>
                <w:szCs w:val="24"/>
              </w:rPr>
              <w:t> (700,000 hours to 1.2 million hours of use at 25 </w:t>
            </w:r>
            <w:hyperlink r:id="rId7" w:history="1">
              <w:r w:rsidRPr="00DA2D82">
                <w:rPr>
                  <w:rFonts w:ascii="Georgia" w:eastAsia="Times New Roman" w:hAnsi="Georgia" w:cs="Times New Roman"/>
                  <w:color w:val="07798E"/>
                  <w:sz w:val="24"/>
                  <w:szCs w:val="24"/>
                  <w:u w:val="single"/>
                </w:rPr>
                <w:t>°C</w:t>
              </w:r>
            </w:hyperlink>
            <w:r w:rsidRPr="00DA2D82">
              <w:rPr>
                <w:rFonts w:ascii="Georgia" w:eastAsia="Times New Roman" w:hAnsi="Georgia" w:cs="Times New Roman"/>
                <w:color w:val="000000"/>
                <w:sz w:val="24"/>
                <w:szCs w:val="24"/>
              </w:rPr>
              <w:t>), less suited for servers.</w:t>
            </w:r>
          </w:p>
        </w:tc>
      </w:tr>
      <w:tr w:rsidR="00DA2D82" w:rsidRPr="00DA2D82" w:rsidTr="00DE3E96">
        <w:tc>
          <w:tcPr>
            <w:tcW w:w="2430" w:type="dxa"/>
            <w:tcMar>
              <w:top w:w="75" w:type="dxa"/>
              <w:left w:w="0" w:type="dxa"/>
              <w:bottom w:w="75" w:type="dxa"/>
              <w:right w:w="75" w:type="dxa"/>
            </w:tcMar>
            <w:vAlign w:val="center"/>
            <w:hideMark/>
          </w:tcPr>
          <w:p w:rsidR="00DA2D82" w:rsidRPr="00DA2D82" w:rsidRDefault="00DA2D82" w:rsidP="004E6A95">
            <w:pPr>
              <w:spacing w:after="0" w:line="360" w:lineRule="atLeast"/>
              <w:jc w:val="center"/>
              <w:rPr>
                <w:rFonts w:ascii="Georgia" w:eastAsia="Times New Roman" w:hAnsi="Georgia" w:cs="Times New Roman"/>
                <w:b/>
                <w:bCs/>
                <w:color w:val="000000"/>
                <w:sz w:val="24"/>
                <w:szCs w:val="24"/>
              </w:rPr>
            </w:pPr>
            <w:r w:rsidRPr="00DA2D82">
              <w:rPr>
                <w:rFonts w:ascii="Georgia" w:eastAsia="Times New Roman" w:hAnsi="Georgia" w:cs="Times New Roman"/>
                <w:b/>
                <w:bCs/>
                <w:color w:val="000000"/>
                <w:sz w:val="24"/>
                <w:szCs w:val="24"/>
              </w:rPr>
              <w:t>Hot plugging (add/remove component while the computer is running)</w:t>
            </w:r>
          </w:p>
        </w:tc>
        <w:tc>
          <w:tcPr>
            <w:tcW w:w="3870"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IDE interface does not support hot plugging</w:t>
            </w:r>
          </w:p>
        </w:tc>
        <w:tc>
          <w:tcPr>
            <w:tcW w:w="3755"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SATA interface supports hot plugging</w:t>
            </w:r>
          </w:p>
        </w:tc>
      </w:tr>
      <w:tr w:rsidR="00DA2D82" w:rsidRPr="00DA2D82" w:rsidTr="00DE3E96">
        <w:tc>
          <w:tcPr>
            <w:tcW w:w="2430" w:type="dxa"/>
            <w:tcMar>
              <w:top w:w="75" w:type="dxa"/>
              <w:left w:w="0" w:type="dxa"/>
              <w:bottom w:w="75" w:type="dxa"/>
              <w:right w:w="75" w:type="dxa"/>
            </w:tcMar>
            <w:vAlign w:val="center"/>
            <w:hideMark/>
          </w:tcPr>
          <w:p w:rsidR="00DA2D82" w:rsidRPr="00DA2D82" w:rsidRDefault="00DA2D82" w:rsidP="004E6A95">
            <w:pPr>
              <w:spacing w:after="0" w:line="360" w:lineRule="atLeast"/>
              <w:jc w:val="center"/>
              <w:rPr>
                <w:rFonts w:ascii="Georgia" w:eastAsia="Times New Roman" w:hAnsi="Georgia" w:cs="Times New Roman"/>
                <w:b/>
                <w:bCs/>
                <w:color w:val="000000"/>
                <w:sz w:val="24"/>
                <w:szCs w:val="24"/>
              </w:rPr>
            </w:pPr>
            <w:r w:rsidRPr="00DA2D82">
              <w:rPr>
                <w:rFonts w:ascii="Georgia" w:eastAsia="Times New Roman" w:hAnsi="Georgia" w:cs="Times New Roman"/>
                <w:b/>
                <w:bCs/>
                <w:color w:val="000000"/>
                <w:sz w:val="24"/>
                <w:szCs w:val="24"/>
              </w:rPr>
              <w:t>Speed</w:t>
            </w:r>
          </w:p>
        </w:tc>
        <w:tc>
          <w:tcPr>
            <w:tcW w:w="3870"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data transfers at the rate of up to 133MB/s</w:t>
            </w:r>
          </w:p>
        </w:tc>
        <w:tc>
          <w:tcPr>
            <w:tcW w:w="3755"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Data transfers at the rate of 150MB/s to 600MB/s.</w:t>
            </w:r>
          </w:p>
        </w:tc>
      </w:tr>
      <w:tr w:rsidR="00DA2D82" w:rsidRPr="00DA2D82" w:rsidTr="00DE3E96">
        <w:tc>
          <w:tcPr>
            <w:tcW w:w="2430" w:type="dxa"/>
            <w:tcMar>
              <w:top w:w="75" w:type="dxa"/>
              <w:left w:w="0" w:type="dxa"/>
              <w:bottom w:w="75" w:type="dxa"/>
              <w:right w:w="75" w:type="dxa"/>
            </w:tcMar>
            <w:vAlign w:val="center"/>
            <w:hideMark/>
          </w:tcPr>
          <w:p w:rsidR="00DA2D82" w:rsidRPr="00DA2D82" w:rsidRDefault="00DA2D82" w:rsidP="004E6A95">
            <w:pPr>
              <w:spacing w:after="0" w:line="360" w:lineRule="atLeast"/>
              <w:jc w:val="center"/>
              <w:rPr>
                <w:rFonts w:ascii="Georgia" w:eastAsia="Times New Roman" w:hAnsi="Georgia" w:cs="Times New Roman"/>
                <w:b/>
                <w:bCs/>
                <w:color w:val="000000"/>
                <w:sz w:val="24"/>
                <w:szCs w:val="24"/>
              </w:rPr>
            </w:pPr>
            <w:r w:rsidRPr="00DA2D82">
              <w:rPr>
                <w:rFonts w:ascii="Georgia" w:eastAsia="Times New Roman" w:hAnsi="Georgia" w:cs="Times New Roman"/>
                <w:b/>
                <w:bCs/>
                <w:color w:val="000000"/>
                <w:sz w:val="24"/>
                <w:szCs w:val="24"/>
              </w:rPr>
              <w:t>Data cable</w:t>
            </w:r>
          </w:p>
        </w:tc>
        <w:tc>
          <w:tcPr>
            <w:tcW w:w="3870"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Ribbon-like, wide, can be up to 18 inches long</w:t>
            </w:r>
          </w:p>
        </w:tc>
        <w:tc>
          <w:tcPr>
            <w:tcW w:w="3755"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Narrow, can be up to a meter (roughly 3ft) long. Power and data split into two connections.</w:t>
            </w:r>
          </w:p>
        </w:tc>
      </w:tr>
      <w:tr w:rsidR="00DA2D82" w:rsidRPr="00DA2D82" w:rsidTr="00DE3E96">
        <w:tc>
          <w:tcPr>
            <w:tcW w:w="2430" w:type="dxa"/>
            <w:tcMar>
              <w:top w:w="75" w:type="dxa"/>
              <w:left w:w="0" w:type="dxa"/>
              <w:bottom w:w="75" w:type="dxa"/>
              <w:right w:w="75" w:type="dxa"/>
            </w:tcMar>
            <w:vAlign w:val="center"/>
            <w:hideMark/>
          </w:tcPr>
          <w:p w:rsidR="00DA2D82" w:rsidRPr="00DA2D82" w:rsidRDefault="00DA2D82" w:rsidP="004E6A95">
            <w:pPr>
              <w:spacing w:after="0" w:line="360" w:lineRule="atLeast"/>
              <w:jc w:val="center"/>
              <w:rPr>
                <w:rFonts w:ascii="Georgia" w:eastAsia="Times New Roman" w:hAnsi="Georgia" w:cs="Times New Roman"/>
                <w:b/>
                <w:bCs/>
                <w:color w:val="000000"/>
                <w:sz w:val="24"/>
                <w:szCs w:val="24"/>
              </w:rPr>
            </w:pPr>
            <w:r w:rsidRPr="00DA2D82">
              <w:rPr>
                <w:rFonts w:ascii="Georgia" w:eastAsia="Times New Roman" w:hAnsi="Georgia" w:cs="Times New Roman"/>
                <w:b/>
                <w:bCs/>
                <w:color w:val="000000"/>
                <w:sz w:val="24"/>
                <w:szCs w:val="24"/>
              </w:rPr>
              <w:t>Lineage</w:t>
            </w:r>
          </w:p>
        </w:tc>
        <w:tc>
          <w:tcPr>
            <w:tcW w:w="3870"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Superseded by </w:t>
            </w:r>
            <w:hyperlink r:id="rId8" w:history="1">
              <w:r w:rsidRPr="00DA2D82">
                <w:rPr>
                  <w:rFonts w:ascii="Georgia" w:eastAsia="Times New Roman" w:hAnsi="Georgia" w:cs="Times New Roman"/>
                  <w:color w:val="07798E"/>
                  <w:sz w:val="24"/>
                  <w:szCs w:val="24"/>
                  <w:u w:val="single"/>
                </w:rPr>
                <w:t>SATA</w:t>
              </w:r>
            </w:hyperlink>
          </w:p>
        </w:tc>
        <w:tc>
          <w:tcPr>
            <w:tcW w:w="3755"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Supersedes Parallel ATA (PATA) aka IDE</w:t>
            </w:r>
          </w:p>
        </w:tc>
      </w:tr>
      <w:tr w:rsidR="00DA2D82" w:rsidRPr="00DA2D82" w:rsidTr="00DE3E96">
        <w:tc>
          <w:tcPr>
            <w:tcW w:w="2430" w:type="dxa"/>
            <w:tcMar>
              <w:top w:w="75" w:type="dxa"/>
              <w:left w:w="0" w:type="dxa"/>
              <w:bottom w:w="75" w:type="dxa"/>
              <w:right w:w="75" w:type="dxa"/>
            </w:tcMar>
            <w:vAlign w:val="center"/>
            <w:hideMark/>
          </w:tcPr>
          <w:p w:rsidR="00DA2D82" w:rsidRPr="00DA2D82" w:rsidRDefault="00DA2D82" w:rsidP="004E6A95">
            <w:pPr>
              <w:spacing w:after="0" w:line="360" w:lineRule="atLeast"/>
              <w:jc w:val="center"/>
              <w:rPr>
                <w:rFonts w:ascii="Georgia" w:eastAsia="Times New Roman" w:hAnsi="Georgia" w:cs="Times New Roman"/>
                <w:b/>
                <w:bCs/>
                <w:color w:val="000000"/>
                <w:sz w:val="24"/>
                <w:szCs w:val="24"/>
              </w:rPr>
            </w:pPr>
            <w:r w:rsidRPr="00DA2D82">
              <w:rPr>
                <w:rFonts w:ascii="Georgia" w:eastAsia="Times New Roman" w:hAnsi="Georgia" w:cs="Times New Roman"/>
                <w:b/>
                <w:bCs/>
                <w:color w:val="000000"/>
                <w:sz w:val="24"/>
                <w:szCs w:val="24"/>
              </w:rPr>
              <w:t>Year Created</w:t>
            </w:r>
          </w:p>
        </w:tc>
        <w:tc>
          <w:tcPr>
            <w:tcW w:w="3870"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1986</w:t>
            </w:r>
          </w:p>
        </w:tc>
        <w:tc>
          <w:tcPr>
            <w:tcW w:w="3755"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2003</w:t>
            </w:r>
          </w:p>
        </w:tc>
      </w:tr>
      <w:tr w:rsidR="00DA2D82" w:rsidRPr="00DA2D82" w:rsidTr="00DE3E96">
        <w:tc>
          <w:tcPr>
            <w:tcW w:w="2430" w:type="dxa"/>
            <w:tcMar>
              <w:top w:w="75" w:type="dxa"/>
              <w:left w:w="0" w:type="dxa"/>
              <w:bottom w:w="75" w:type="dxa"/>
              <w:right w:w="75" w:type="dxa"/>
            </w:tcMar>
            <w:vAlign w:val="center"/>
            <w:hideMark/>
          </w:tcPr>
          <w:p w:rsidR="00DA2D82" w:rsidRPr="00DA2D82" w:rsidRDefault="00DA2D82" w:rsidP="004E6A95">
            <w:pPr>
              <w:spacing w:after="0" w:line="360" w:lineRule="atLeast"/>
              <w:jc w:val="center"/>
              <w:rPr>
                <w:rFonts w:ascii="Georgia" w:eastAsia="Times New Roman" w:hAnsi="Georgia" w:cs="Times New Roman"/>
                <w:b/>
                <w:bCs/>
                <w:color w:val="000000"/>
                <w:sz w:val="24"/>
                <w:szCs w:val="24"/>
              </w:rPr>
            </w:pPr>
            <w:r w:rsidRPr="00DA2D82">
              <w:rPr>
                <w:rFonts w:ascii="Georgia" w:eastAsia="Times New Roman" w:hAnsi="Georgia" w:cs="Times New Roman"/>
                <w:b/>
                <w:bCs/>
                <w:color w:val="000000"/>
                <w:sz w:val="24"/>
                <w:szCs w:val="24"/>
              </w:rPr>
              <w:t>Jumpers</w:t>
            </w:r>
          </w:p>
        </w:tc>
        <w:tc>
          <w:tcPr>
            <w:tcW w:w="3870"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 xml:space="preserve">In a computer system, </w:t>
            </w:r>
            <w:proofErr w:type="gramStart"/>
            <w:r w:rsidRPr="00DA2D82">
              <w:rPr>
                <w:rFonts w:ascii="Georgia" w:eastAsia="Times New Roman" w:hAnsi="Georgia" w:cs="Times New Roman"/>
                <w:color w:val="000000"/>
                <w:sz w:val="24"/>
                <w:szCs w:val="24"/>
              </w:rPr>
              <w:t>it's</w:t>
            </w:r>
            <w:proofErr w:type="gramEnd"/>
            <w:r w:rsidRPr="00DA2D82">
              <w:rPr>
                <w:rFonts w:ascii="Georgia" w:eastAsia="Times New Roman" w:hAnsi="Georgia" w:cs="Times New Roman"/>
                <w:color w:val="000000"/>
                <w:sz w:val="24"/>
                <w:szCs w:val="24"/>
              </w:rPr>
              <w:t xml:space="preserve"> possible to have more than one </w:t>
            </w:r>
            <w:proofErr w:type="spellStart"/>
            <w:r w:rsidRPr="00DA2D82">
              <w:rPr>
                <w:rFonts w:ascii="Georgia" w:eastAsia="Times New Roman" w:hAnsi="Georgia" w:cs="Times New Roman"/>
                <w:color w:val="000000"/>
                <w:sz w:val="24"/>
                <w:szCs w:val="24"/>
              </w:rPr>
              <w:t>harddrive</w:t>
            </w:r>
            <w:proofErr w:type="spellEnd"/>
            <w:r w:rsidRPr="00DA2D82">
              <w:rPr>
                <w:rFonts w:ascii="Georgia" w:eastAsia="Times New Roman" w:hAnsi="Georgia" w:cs="Times New Roman"/>
                <w:color w:val="000000"/>
                <w:sz w:val="24"/>
                <w:szCs w:val="24"/>
              </w:rPr>
              <w:t xml:space="preserve">. To connect multiple IDE drives, you need to chain the ribbon cables from one to the next. The computer system has no </w:t>
            </w:r>
            <w:proofErr w:type="gramStart"/>
            <w:r w:rsidRPr="00DA2D82">
              <w:rPr>
                <w:rFonts w:ascii="Georgia" w:eastAsia="Times New Roman" w:hAnsi="Georgia" w:cs="Times New Roman"/>
                <w:color w:val="000000"/>
                <w:sz w:val="24"/>
                <w:szCs w:val="24"/>
              </w:rPr>
              <w:t>idea which</w:t>
            </w:r>
            <w:proofErr w:type="gramEnd"/>
            <w:r w:rsidRPr="00DA2D82">
              <w:rPr>
                <w:rFonts w:ascii="Georgia" w:eastAsia="Times New Roman" w:hAnsi="Georgia" w:cs="Times New Roman"/>
                <w:color w:val="000000"/>
                <w:sz w:val="24"/>
                <w:szCs w:val="24"/>
              </w:rPr>
              <w:t xml:space="preserve"> is the main drive, from which to load the OS.</w:t>
            </w:r>
          </w:p>
        </w:tc>
        <w:tc>
          <w:tcPr>
            <w:tcW w:w="3755" w:type="dxa"/>
            <w:tcMar>
              <w:top w:w="75" w:type="dxa"/>
              <w:left w:w="150" w:type="dxa"/>
              <w:bottom w:w="75" w:type="dxa"/>
              <w:right w:w="150" w:type="dxa"/>
            </w:tcMar>
            <w:hideMark/>
          </w:tcPr>
          <w:p w:rsidR="00DA2D82" w:rsidRPr="00DA2D82" w:rsidRDefault="00DA2D82" w:rsidP="00DA2D82">
            <w:pPr>
              <w:spacing w:after="0" w:line="360" w:lineRule="atLeast"/>
              <w:rPr>
                <w:rFonts w:ascii="Georgia" w:eastAsia="Times New Roman" w:hAnsi="Georgia" w:cs="Times New Roman"/>
                <w:color w:val="000000"/>
                <w:sz w:val="24"/>
                <w:szCs w:val="24"/>
              </w:rPr>
            </w:pPr>
            <w:r w:rsidRPr="00DA2D82">
              <w:rPr>
                <w:rFonts w:ascii="Georgia" w:eastAsia="Times New Roman" w:hAnsi="Georgia" w:cs="Times New Roman"/>
                <w:color w:val="000000"/>
                <w:sz w:val="24"/>
                <w:szCs w:val="24"/>
              </w:rPr>
              <w:t xml:space="preserve">SATA drives </w:t>
            </w:r>
            <w:proofErr w:type="gramStart"/>
            <w:r w:rsidRPr="00DA2D82">
              <w:rPr>
                <w:rFonts w:ascii="Georgia" w:eastAsia="Times New Roman" w:hAnsi="Georgia" w:cs="Times New Roman"/>
                <w:color w:val="000000"/>
                <w:sz w:val="24"/>
                <w:szCs w:val="24"/>
              </w:rPr>
              <w:t>don't</w:t>
            </w:r>
            <w:proofErr w:type="gramEnd"/>
            <w:r w:rsidRPr="00DA2D82">
              <w:rPr>
                <w:rFonts w:ascii="Georgia" w:eastAsia="Times New Roman" w:hAnsi="Georgia" w:cs="Times New Roman"/>
                <w:color w:val="000000"/>
                <w:sz w:val="24"/>
                <w:szCs w:val="24"/>
              </w:rPr>
              <w:t xml:space="preserve"> use jumpers. Each drive connects directly to the motherboard. To set the primary drive, you can access the settings from the computers BIOS (special software that runs when you start the computer).</w:t>
            </w:r>
          </w:p>
        </w:tc>
      </w:tr>
    </w:tbl>
    <w:p w:rsidR="00DA2D82" w:rsidRDefault="00DA2D82" w:rsidP="00DE3E96">
      <w:pPr>
        <w:jc w:val="center"/>
        <w:rPr>
          <w:rFonts w:ascii="Georgia" w:hAnsi="Georgia"/>
          <w:color w:val="333333"/>
          <w:sz w:val="23"/>
          <w:szCs w:val="23"/>
        </w:rPr>
      </w:pPr>
      <w:r>
        <w:rPr>
          <w:rFonts w:ascii="Georgia" w:hAnsi="Georgia"/>
          <w:noProof/>
          <w:color w:val="333333"/>
          <w:sz w:val="23"/>
          <w:szCs w:val="23"/>
        </w:rPr>
        <w:lastRenderedPageBreak/>
        <w:drawing>
          <wp:inline distT="0" distB="0" distL="0" distR="0">
            <wp:extent cx="4905375" cy="2419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ta.jpg"/>
                    <pic:cNvPicPr/>
                  </pic:nvPicPr>
                  <pic:blipFill>
                    <a:blip r:embed="rId9">
                      <a:extLst>
                        <a:ext uri="{28A0092B-C50C-407E-A947-70E740481C1C}">
                          <a14:useLocalDpi xmlns:a14="http://schemas.microsoft.com/office/drawing/2010/main" val="0"/>
                        </a:ext>
                      </a:extLst>
                    </a:blip>
                    <a:stretch>
                      <a:fillRect/>
                    </a:stretch>
                  </pic:blipFill>
                  <pic:spPr>
                    <a:xfrm>
                      <a:off x="0" y="0"/>
                      <a:ext cx="4905375" cy="2419350"/>
                    </a:xfrm>
                    <a:prstGeom prst="rect">
                      <a:avLst/>
                    </a:prstGeom>
                  </pic:spPr>
                </pic:pic>
              </a:graphicData>
            </a:graphic>
          </wp:inline>
        </w:drawing>
      </w:r>
    </w:p>
    <w:p w:rsidR="00DA2D82" w:rsidRPr="00A76B93" w:rsidRDefault="00DA2D82" w:rsidP="001D79D9">
      <w:pPr>
        <w:ind w:left="720"/>
        <w:jc w:val="center"/>
        <w:rPr>
          <w:rFonts w:ascii="Georgia" w:hAnsi="Georgia"/>
          <w:color w:val="333333"/>
          <w:sz w:val="28"/>
          <w:szCs w:val="28"/>
          <w:rtl/>
          <w:lang w:bidi="ar-IQ"/>
        </w:rPr>
      </w:pPr>
      <w:r w:rsidRPr="00A76B93">
        <w:rPr>
          <w:rFonts w:ascii="Georgia" w:hAnsi="Georgia" w:hint="cs"/>
          <w:color w:val="333333"/>
          <w:sz w:val="28"/>
          <w:szCs w:val="28"/>
          <w:rtl/>
          <w:lang w:bidi="ar-IQ"/>
        </w:rPr>
        <w:t xml:space="preserve">وحدة الخزن الرئيسية في الحاسبة </w:t>
      </w:r>
      <w:r w:rsidR="00A76B93">
        <w:rPr>
          <w:rFonts w:ascii="Georgia" w:hAnsi="Georgia" w:hint="cs"/>
          <w:color w:val="333333"/>
          <w:sz w:val="28"/>
          <w:szCs w:val="28"/>
          <w:rtl/>
          <w:lang w:bidi="ar-IQ"/>
        </w:rPr>
        <w:t>الالكترونية</w:t>
      </w:r>
    </w:p>
    <w:p w:rsidR="00DA2D82" w:rsidRPr="00DA2D82" w:rsidRDefault="001D79D9" w:rsidP="00A76B93">
      <w:pPr>
        <w:bidi/>
        <w:rPr>
          <w:rFonts w:ascii="Georgia" w:hAnsi="Georgia" w:hint="cs"/>
          <w:color w:val="333333"/>
          <w:sz w:val="23"/>
          <w:szCs w:val="23"/>
          <w:rtl/>
          <w:lang w:bidi="ar-IQ"/>
        </w:rPr>
      </w:pPr>
      <w:r w:rsidRPr="00A76B93">
        <w:rPr>
          <w:rFonts w:ascii="Georgia" w:hAnsi="Georgia"/>
          <w:color w:val="333333"/>
          <w:sz w:val="28"/>
          <w:szCs w:val="28"/>
          <w:lang w:bidi="ar-IQ"/>
        </w:rPr>
        <w:t>Bit</w:t>
      </w:r>
      <w:r w:rsidRPr="00A76B93">
        <w:rPr>
          <w:rFonts w:ascii="Georgia" w:hAnsi="Georgia" w:hint="cs"/>
          <w:color w:val="333333"/>
          <w:sz w:val="28"/>
          <w:szCs w:val="28"/>
          <w:rtl/>
          <w:lang w:bidi="ar-IQ"/>
        </w:rPr>
        <w:t xml:space="preserve"> </w:t>
      </w:r>
      <w:r w:rsidRPr="00A76B93">
        <w:rPr>
          <w:rFonts w:ascii="Georgia" w:hAnsi="Georgia"/>
          <w:color w:val="333333"/>
          <w:sz w:val="28"/>
          <w:szCs w:val="28"/>
          <w:rtl/>
          <w:lang w:bidi="ar-IQ"/>
        </w:rPr>
        <w:t>(</w:t>
      </w:r>
      <w:r w:rsidR="00A428C7" w:rsidRPr="00A76B93">
        <w:rPr>
          <w:rFonts w:ascii="Georgia" w:hAnsi="Georgia"/>
          <w:color w:val="333333"/>
          <w:sz w:val="28"/>
          <w:szCs w:val="28"/>
          <w:u w:val="single"/>
          <w:lang w:bidi="ar-IQ"/>
        </w:rPr>
        <w:t>Bi</w:t>
      </w:r>
      <w:r w:rsidR="00A428C7" w:rsidRPr="00A76B93">
        <w:rPr>
          <w:rFonts w:ascii="Georgia" w:hAnsi="Georgia"/>
          <w:color w:val="333333"/>
          <w:sz w:val="28"/>
          <w:szCs w:val="28"/>
          <w:lang w:bidi="ar-IQ"/>
        </w:rPr>
        <w:t>nary Digi</w:t>
      </w:r>
      <w:r w:rsidR="00A428C7" w:rsidRPr="00A76B93">
        <w:rPr>
          <w:rFonts w:ascii="Georgia" w:hAnsi="Georgia"/>
          <w:color w:val="333333"/>
          <w:sz w:val="28"/>
          <w:szCs w:val="28"/>
          <w:u w:val="single"/>
          <w:lang w:bidi="ar-IQ"/>
        </w:rPr>
        <w:t>t</w:t>
      </w:r>
      <w:r w:rsidRPr="00A76B93">
        <w:rPr>
          <w:rFonts w:ascii="Georgia" w:hAnsi="Georgia" w:hint="cs"/>
          <w:color w:val="333333"/>
          <w:sz w:val="28"/>
          <w:szCs w:val="28"/>
          <w:rtl/>
          <w:lang w:bidi="ar-IQ"/>
        </w:rPr>
        <w:t>)</w:t>
      </w:r>
      <w:r w:rsidRPr="00A76B93">
        <w:rPr>
          <w:rFonts w:ascii="Georgia" w:hAnsi="Georgia"/>
          <w:color w:val="333333"/>
          <w:sz w:val="28"/>
          <w:szCs w:val="28"/>
          <w:lang w:bidi="ar-IQ"/>
        </w:rPr>
        <w:t>:</w:t>
      </w:r>
      <w:r w:rsidR="00A428C7" w:rsidRPr="00A76B93">
        <w:rPr>
          <w:rFonts w:ascii="Georgia" w:hAnsi="Georgia" w:hint="cs"/>
          <w:color w:val="333333"/>
          <w:sz w:val="28"/>
          <w:szCs w:val="28"/>
          <w:rtl/>
          <w:lang w:bidi="ar-IQ"/>
        </w:rPr>
        <w:t xml:space="preserve"> - وهو اصغر وحدة خزن في الحاسبة ويقاس بالنظام الثنائي (</w:t>
      </w:r>
      <w:r w:rsidR="00A428C7" w:rsidRPr="00A76B93">
        <w:rPr>
          <w:rFonts w:ascii="Georgia" w:hAnsi="Georgia"/>
          <w:color w:val="333333"/>
          <w:sz w:val="28"/>
          <w:szCs w:val="28"/>
          <w:lang w:bidi="ar-IQ"/>
        </w:rPr>
        <w:t>Binary System</w:t>
      </w:r>
      <w:r w:rsidR="00DE3E96">
        <w:rPr>
          <w:rFonts w:ascii="Georgia" w:hAnsi="Georgia" w:hint="cs"/>
          <w:color w:val="333333"/>
          <w:sz w:val="28"/>
          <w:szCs w:val="28"/>
          <w:rtl/>
          <w:lang w:bidi="ar-IQ"/>
        </w:rPr>
        <w:t xml:space="preserve">) وتكون قيمة البت الواحد اما 0 او </w:t>
      </w:r>
      <w:proofErr w:type="gramStart"/>
      <w:r w:rsidR="00DE3E96">
        <w:rPr>
          <w:rFonts w:ascii="Georgia" w:hAnsi="Georgia" w:hint="cs"/>
          <w:color w:val="333333"/>
          <w:sz w:val="28"/>
          <w:szCs w:val="28"/>
          <w:rtl/>
          <w:lang w:bidi="ar-IQ"/>
        </w:rPr>
        <w:t>1 .</w:t>
      </w:r>
      <w:proofErr w:type="gramEnd"/>
    </w:p>
    <w:tbl>
      <w:tblPr>
        <w:tblStyle w:val="TableGrid"/>
        <w:tblpPr w:leftFromText="180" w:rightFromText="180" w:vertAnchor="text" w:horzAnchor="page" w:tblpX="6241" w:tblpY="-24"/>
        <w:tblW w:w="0" w:type="auto"/>
        <w:tblLook w:val="04A0" w:firstRow="1" w:lastRow="0" w:firstColumn="1" w:lastColumn="0" w:noHBand="0" w:noVBand="1"/>
      </w:tblPr>
      <w:tblGrid>
        <w:gridCol w:w="486"/>
        <w:gridCol w:w="486"/>
        <w:gridCol w:w="486"/>
        <w:gridCol w:w="486"/>
        <w:gridCol w:w="486"/>
        <w:gridCol w:w="486"/>
        <w:gridCol w:w="486"/>
        <w:gridCol w:w="486"/>
      </w:tblGrid>
      <w:tr w:rsidR="00DE3E96" w:rsidTr="00DE3E96">
        <w:tc>
          <w:tcPr>
            <w:tcW w:w="486" w:type="dxa"/>
            <w:tcBorders>
              <w:bottom w:val="single" w:sz="4" w:space="0" w:color="auto"/>
            </w:tcBorders>
          </w:tcPr>
          <w:p w:rsidR="00DE3E96" w:rsidRDefault="00DE3E96" w:rsidP="00DE3E96">
            <w:pPr>
              <w:ind w:left="270"/>
              <w:rPr>
                <w:rFonts w:ascii="Georgia" w:hAnsi="Georgia"/>
                <w:color w:val="333333"/>
                <w:sz w:val="28"/>
                <w:szCs w:val="28"/>
              </w:rPr>
            </w:pPr>
            <w:r>
              <w:rPr>
                <w:rFonts w:ascii="Georgia" w:hAnsi="Georgia"/>
                <w:color w:val="333333"/>
                <w:sz w:val="28"/>
                <w:szCs w:val="28"/>
              </w:rPr>
              <w:t xml:space="preserve"> </w:t>
            </w:r>
          </w:p>
        </w:tc>
        <w:tc>
          <w:tcPr>
            <w:tcW w:w="486" w:type="dxa"/>
            <w:tcBorders>
              <w:bottom w:val="single" w:sz="4" w:space="0" w:color="auto"/>
            </w:tcBorders>
          </w:tcPr>
          <w:p w:rsidR="00DE3E96" w:rsidRDefault="00DE3E96" w:rsidP="00DE3E96">
            <w:pPr>
              <w:ind w:left="270"/>
              <w:rPr>
                <w:rFonts w:ascii="Georgia" w:hAnsi="Georgia"/>
                <w:color w:val="333333"/>
                <w:sz w:val="28"/>
                <w:szCs w:val="28"/>
              </w:rPr>
            </w:pPr>
            <w:r>
              <w:rPr>
                <w:rFonts w:ascii="Georgia" w:hAnsi="Georgia"/>
                <w:color w:val="333333"/>
                <w:sz w:val="28"/>
                <w:szCs w:val="28"/>
              </w:rPr>
              <w:t xml:space="preserve"> </w:t>
            </w:r>
          </w:p>
        </w:tc>
        <w:tc>
          <w:tcPr>
            <w:tcW w:w="486" w:type="dxa"/>
            <w:tcBorders>
              <w:bottom w:val="single" w:sz="4" w:space="0" w:color="auto"/>
            </w:tcBorders>
          </w:tcPr>
          <w:p w:rsidR="00DE3E96" w:rsidRDefault="00DE3E96" w:rsidP="00DE3E96">
            <w:pPr>
              <w:ind w:left="270"/>
              <w:rPr>
                <w:rFonts w:ascii="Georgia" w:hAnsi="Georgia"/>
                <w:color w:val="333333"/>
                <w:sz w:val="28"/>
                <w:szCs w:val="28"/>
              </w:rPr>
            </w:pPr>
            <w:r>
              <w:rPr>
                <w:rFonts w:ascii="Georgia" w:hAnsi="Georgia"/>
                <w:color w:val="333333"/>
                <w:sz w:val="28"/>
                <w:szCs w:val="28"/>
              </w:rPr>
              <w:t xml:space="preserve"> </w:t>
            </w:r>
          </w:p>
        </w:tc>
        <w:tc>
          <w:tcPr>
            <w:tcW w:w="486" w:type="dxa"/>
            <w:tcBorders>
              <w:bottom w:val="single" w:sz="4" w:space="0" w:color="auto"/>
            </w:tcBorders>
          </w:tcPr>
          <w:p w:rsidR="00DE3E96" w:rsidRDefault="00DE3E96" w:rsidP="00DE3E96">
            <w:pPr>
              <w:ind w:left="270"/>
              <w:rPr>
                <w:rFonts w:ascii="Georgia" w:hAnsi="Georgia"/>
                <w:color w:val="333333"/>
                <w:sz w:val="28"/>
                <w:szCs w:val="28"/>
              </w:rPr>
            </w:pPr>
            <w:r>
              <w:rPr>
                <w:rFonts w:ascii="Georgia" w:hAnsi="Georgia"/>
                <w:color w:val="333333"/>
                <w:sz w:val="28"/>
                <w:szCs w:val="28"/>
              </w:rPr>
              <w:t xml:space="preserve"> </w:t>
            </w:r>
          </w:p>
        </w:tc>
        <w:tc>
          <w:tcPr>
            <w:tcW w:w="486" w:type="dxa"/>
            <w:tcBorders>
              <w:bottom w:val="single" w:sz="4" w:space="0" w:color="auto"/>
            </w:tcBorders>
          </w:tcPr>
          <w:p w:rsidR="00DE3E96" w:rsidRDefault="00DE3E96" w:rsidP="00DE3E96">
            <w:pPr>
              <w:ind w:left="270"/>
              <w:rPr>
                <w:rFonts w:ascii="Georgia" w:hAnsi="Georgia"/>
                <w:color w:val="333333"/>
                <w:sz w:val="28"/>
                <w:szCs w:val="28"/>
              </w:rPr>
            </w:pPr>
            <w:r>
              <w:rPr>
                <w:rFonts w:ascii="Georgia" w:hAnsi="Georgia"/>
                <w:color w:val="333333"/>
                <w:sz w:val="28"/>
                <w:szCs w:val="28"/>
              </w:rPr>
              <w:t xml:space="preserve"> </w:t>
            </w:r>
          </w:p>
        </w:tc>
        <w:tc>
          <w:tcPr>
            <w:tcW w:w="486" w:type="dxa"/>
            <w:tcBorders>
              <w:bottom w:val="single" w:sz="4" w:space="0" w:color="auto"/>
            </w:tcBorders>
          </w:tcPr>
          <w:p w:rsidR="00DE3E96" w:rsidRDefault="00DE3E96" w:rsidP="00DE3E96">
            <w:pPr>
              <w:ind w:left="270"/>
              <w:rPr>
                <w:rFonts w:ascii="Georgia" w:hAnsi="Georgia"/>
                <w:color w:val="333333"/>
                <w:sz w:val="28"/>
                <w:szCs w:val="28"/>
              </w:rPr>
            </w:pPr>
            <w:r>
              <w:rPr>
                <w:rFonts w:ascii="Georgia" w:hAnsi="Georgia"/>
                <w:color w:val="333333"/>
                <w:sz w:val="28"/>
                <w:szCs w:val="28"/>
              </w:rPr>
              <w:t xml:space="preserve"> </w:t>
            </w:r>
          </w:p>
        </w:tc>
        <w:tc>
          <w:tcPr>
            <w:tcW w:w="486" w:type="dxa"/>
            <w:tcBorders>
              <w:bottom w:val="single" w:sz="4" w:space="0" w:color="auto"/>
            </w:tcBorders>
          </w:tcPr>
          <w:p w:rsidR="00DE3E96" w:rsidRDefault="00DE3E96" w:rsidP="00DE3E96">
            <w:pPr>
              <w:ind w:left="270"/>
              <w:rPr>
                <w:rFonts w:ascii="Georgia" w:hAnsi="Georgia"/>
                <w:color w:val="333333"/>
                <w:sz w:val="28"/>
                <w:szCs w:val="28"/>
              </w:rPr>
            </w:pPr>
            <w:r>
              <w:rPr>
                <w:rFonts w:ascii="Georgia" w:hAnsi="Georgia"/>
                <w:color w:val="333333"/>
                <w:sz w:val="28"/>
                <w:szCs w:val="28"/>
              </w:rPr>
              <w:t xml:space="preserve"> </w:t>
            </w:r>
          </w:p>
        </w:tc>
        <w:tc>
          <w:tcPr>
            <w:tcW w:w="486" w:type="dxa"/>
            <w:tcBorders>
              <w:bottom w:val="single" w:sz="4" w:space="0" w:color="auto"/>
            </w:tcBorders>
          </w:tcPr>
          <w:p w:rsidR="00DE3E96" w:rsidRDefault="00DE3E96" w:rsidP="00DE3E96">
            <w:pPr>
              <w:ind w:left="270"/>
              <w:rPr>
                <w:rFonts w:ascii="Georgia" w:hAnsi="Georgia"/>
                <w:color w:val="333333"/>
                <w:sz w:val="28"/>
                <w:szCs w:val="28"/>
              </w:rPr>
            </w:pPr>
            <w:r>
              <w:rPr>
                <w:rFonts w:ascii="Georgia" w:hAnsi="Georgia"/>
                <w:color w:val="333333"/>
                <w:sz w:val="28"/>
                <w:szCs w:val="28"/>
              </w:rPr>
              <w:t xml:space="preserve"> </w:t>
            </w:r>
          </w:p>
        </w:tc>
      </w:tr>
      <w:tr w:rsidR="00DE3E96" w:rsidTr="00DE3E96">
        <w:tc>
          <w:tcPr>
            <w:tcW w:w="3888" w:type="dxa"/>
            <w:gridSpan w:val="8"/>
            <w:tcBorders>
              <w:top w:val="single" w:sz="4" w:space="0" w:color="auto"/>
              <w:left w:val="nil"/>
              <w:bottom w:val="nil"/>
              <w:right w:val="nil"/>
            </w:tcBorders>
          </w:tcPr>
          <w:p w:rsidR="00DE3E96" w:rsidRDefault="00DE3E96" w:rsidP="00DE3E96">
            <w:pPr>
              <w:jc w:val="center"/>
              <w:rPr>
                <w:rFonts w:ascii="Georgia" w:hAnsi="Georgia"/>
                <w:color w:val="333333"/>
                <w:sz w:val="28"/>
                <w:szCs w:val="28"/>
              </w:rPr>
            </w:pPr>
            <w:r>
              <w:rPr>
                <w:rFonts w:ascii="Georgia" w:hAnsi="Georgia"/>
                <w:color w:val="333333"/>
                <w:sz w:val="28"/>
                <w:szCs w:val="28"/>
              </w:rPr>
              <w:t>1 byte = 8- bit</w:t>
            </w:r>
          </w:p>
        </w:tc>
      </w:tr>
    </w:tbl>
    <w:p w:rsidR="0033145A" w:rsidRPr="00A76B93" w:rsidRDefault="00DA2D82" w:rsidP="00DA2D82">
      <w:pPr>
        <w:numPr>
          <w:ilvl w:val="1"/>
          <w:numId w:val="1"/>
        </w:numPr>
        <w:rPr>
          <w:rFonts w:ascii="Georgia" w:hAnsi="Georgia"/>
          <w:color w:val="333333"/>
          <w:sz w:val="28"/>
          <w:szCs w:val="28"/>
        </w:rPr>
      </w:pPr>
      <w:r w:rsidRPr="00A76B93">
        <w:rPr>
          <w:rFonts w:ascii="Georgia" w:hAnsi="Georgia"/>
          <w:color w:val="333333"/>
          <w:sz w:val="28"/>
          <w:szCs w:val="28"/>
        </w:rPr>
        <w:t>Byte = 8 Bits.</w:t>
      </w:r>
    </w:p>
    <w:p w:rsidR="0033145A" w:rsidRPr="00A76B93" w:rsidRDefault="00DA2D82" w:rsidP="00DA2D82">
      <w:pPr>
        <w:numPr>
          <w:ilvl w:val="1"/>
          <w:numId w:val="1"/>
        </w:numPr>
        <w:rPr>
          <w:rFonts w:ascii="Georgia" w:hAnsi="Georgia"/>
          <w:color w:val="333333"/>
          <w:sz w:val="28"/>
          <w:szCs w:val="28"/>
        </w:rPr>
      </w:pPr>
      <w:r w:rsidRPr="00A76B93">
        <w:rPr>
          <w:rFonts w:ascii="Georgia" w:hAnsi="Georgia"/>
          <w:color w:val="333333"/>
          <w:sz w:val="28"/>
          <w:szCs w:val="28"/>
        </w:rPr>
        <w:t>Kilo Byte (KB) = 1024 Byte.</w:t>
      </w:r>
    </w:p>
    <w:p w:rsidR="0033145A" w:rsidRPr="00A76B93" w:rsidRDefault="00DA2D82" w:rsidP="00DA2D82">
      <w:pPr>
        <w:numPr>
          <w:ilvl w:val="1"/>
          <w:numId w:val="1"/>
        </w:numPr>
        <w:rPr>
          <w:rFonts w:ascii="Georgia" w:hAnsi="Georgia"/>
          <w:color w:val="333333"/>
          <w:sz w:val="28"/>
          <w:szCs w:val="28"/>
        </w:rPr>
      </w:pPr>
      <w:r w:rsidRPr="00A76B93">
        <w:rPr>
          <w:rFonts w:ascii="Georgia" w:hAnsi="Georgia"/>
          <w:color w:val="333333"/>
          <w:sz w:val="28"/>
          <w:szCs w:val="28"/>
        </w:rPr>
        <w:t>Mega Byte (MB) = 1024 KB.</w:t>
      </w:r>
    </w:p>
    <w:p w:rsidR="0033145A" w:rsidRPr="00A76B93" w:rsidRDefault="00DA2D82" w:rsidP="00DA2D82">
      <w:pPr>
        <w:numPr>
          <w:ilvl w:val="1"/>
          <w:numId w:val="1"/>
        </w:numPr>
        <w:rPr>
          <w:rFonts w:ascii="Georgia" w:hAnsi="Georgia"/>
          <w:color w:val="333333"/>
          <w:sz w:val="28"/>
          <w:szCs w:val="28"/>
        </w:rPr>
      </w:pPr>
      <w:r w:rsidRPr="00A76B93">
        <w:rPr>
          <w:rFonts w:ascii="Georgia" w:hAnsi="Georgia"/>
          <w:color w:val="333333"/>
          <w:sz w:val="28"/>
          <w:szCs w:val="28"/>
        </w:rPr>
        <w:t>Giga Byte (GB) = 1024 MB.</w:t>
      </w:r>
    </w:p>
    <w:p w:rsidR="00DA2D82" w:rsidRPr="00A76B93" w:rsidRDefault="0099273F" w:rsidP="00DA2D82">
      <w:pPr>
        <w:numPr>
          <w:ilvl w:val="1"/>
          <w:numId w:val="1"/>
        </w:numPr>
        <w:rPr>
          <w:rFonts w:ascii="Georgia" w:hAnsi="Georgia"/>
          <w:color w:val="333333"/>
          <w:sz w:val="28"/>
          <w:szCs w:val="28"/>
        </w:rPr>
      </w:pPr>
      <w:proofErr w:type="spellStart"/>
      <w:r>
        <w:rPr>
          <w:rFonts w:ascii="Georgia" w:hAnsi="Georgia"/>
          <w:color w:val="333333"/>
          <w:sz w:val="28"/>
          <w:szCs w:val="28"/>
        </w:rPr>
        <w:t>Te</w:t>
      </w:r>
      <w:r w:rsidR="00DA2D82" w:rsidRPr="00A76B93">
        <w:rPr>
          <w:rFonts w:ascii="Georgia" w:hAnsi="Georgia"/>
          <w:color w:val="333333"/>
          <w:sz w:val="28"/>
          <w:szCs w:val="28"/>
        </w:rPr>
        <w:t>ra</w:t>
      </w:r>
      <w:proofErr w:type="spellEnd"/>
      <w:r w:rsidR="00DA2D82" w:rsidRPr="00A76B93">
        <w:rPr>
          <w:rFonts w:ascii="Georgia" w:hAnsi="Georgia"/>
          <w:color w:val="333333"/>
          <w:sz w:val="28"/>
          <w:szCs w:val="28"/>
        </w:rPr>
        <w:t xml:space="preserve"> Byte</w:t>
      </w:r>
      <w:r w:rsidR="001D79D9" w:rsidRPr="00A76B93">
        <w:rPr>
          <w:rFonts w:ascii="Georgia" w:hAnsi="Georgia"/>
          <w:color w:val="333333"/>
          <w:sz w:val="28"/>
          <w:szCs w:val="28"/>
        </w:rPr>
        <w:t xml:space="preserve"> (</w:t>
      </w:r>
      <w:r w:rsidR="00DA2D82" w:rsidRPr="00A76B93">
        <w:rPr>
          <w:rFonts w:ascii="Georgia" w:hAnsi="Georgia"/>
          <w:color w:val="333333"/>
          <w:sz w:val="28"/>
          <w:szCs w:val="28"/>
        </w:rPr>
        <w:t>TB</w:t>
      </w:r>
      <w:r w:rsidR="001D79D9" w:rsidRPr="00A76B93">
        <w:rPr>
          <w:rFonts w:ascii="Georgia" w:hAnsi="Georgia"/>
          <w:color w:val="333333"/>
          <w:sz w:val="28"/>
          <w:szCs w:val="28"/>
        </w:rPr>
        <w:t>) =</w:t>
      </w:r>
      <w:r w:rsidR="00DA2D82" w:rsidRPr="00A76B93">
        <w:rPr>
          <w:rFonts w:ascii="Georgia" w:hAnsi="Georgia"/>
          <w:color w:val="333333"/>
          <w:sz w:val="28"/>
          <w:szCs w:val="28"/>
        </w:rPr>
        <w:t>1024 GB.</w:t>
      </w:r>
    </w:p>
    <w:p w:rsidR="00DA2D82" w:rsidRPr="00A76B93" w:rsidRDefault="00DA2D82" w:rsidP="0099273F">
      <w:pPr>
        <w:ind w:left="-180" w:hanging="360"/>
        <w:rPr>
          <w:rFonts w:ascii="Georgia" w:hAnsi="Georgia"/>
          <w:color w:val="333333"/>
          <w:sz w:val="28"/>
          <w:szCs w:val="28"/>
        </w:rPr>
      </w:pPr>
      <w:bookmarkStart w:id="0" w:name="_GoBack"/>
      <w:bookmarkEnd w:id="0"/>
    </w:p>
    <w:p w:rsidR="00DA2D82" w:rsidRPr="00A76B93" w:rsidRDefault="001D79D9" w:rsidP="00A76B93">
      <w:pPr>
        <w:jc w:val="both"/>
        <w:rPr>
          <w:rFonts w:ascii="Georgia" w:hAnsi="Georgia"/>
          <w:color w:val="333333"/>
          <w:sz w:val="28"/>
          <w:szCs w:val="28"/>
        </w:rPr>
      </w:pPr>
      <w:r w:rsidRPr="00A76B93">
        <w:rPr>
          <w:rFonts w:ascii="Georgia" w:hAnsi="Georgia"/>
          <w:color w:val="333333"/>
          <w:sz w:val="28"/>
          <w:szCs w:val="28"/>
        </w:rPr>
        <w:t>It is</w:t>
      </w:r>
      <w:r w:rsidR="00DA2D82" w:rsidRPr="00A76B93">
        <w:rPr>
          <w:rFonts w:ascii="Georgia" w:hAnsi="Georgia"/>
          <w:color w:val="333333"/>
          <w:sz w:val="28"/>
          <w:szCs w:val="28"/>
        </w:rPr>
        <w:t xml:space="preserve"> 1024 Bytes only if you are talking about the capacity of data storage that </w:t>
      </w:r>
      <w:proofErr w:type="gramStart"/>
      <w:r w:rsidR="00DA2D82" w:rsidRPr="00A76B93">
        <w:rPr>
          <w:rFonts w:ascii="Georgia" w:hAnsi="Georgia"/>
          <w:color w:val="333333"/>
          <w:sz w:val="28"/>
          <w:szCs w:val="28"/>
        </w:rPr>
        <w:t xml:space="preserve">is </w:t>
      </w:r>
      <w:r w:rsidRPr="00A76B93">
        <w:rPr>
          <w:rFonts w:ascii="Georgia" w:hAnsi="Georgia"/>
          <w:color w:val="333333"/>
          <w:sz w:val="28"/>
          <w:szCs w:val="28"/>
        </w:rPr>
        <w:t>organized</w:t>
      </w:r>
      <w:proofErr w:type="gramEnd"/>
      <w:r w:rsidR="00DA2D82" w:rsidRPr="00A76B93">
        <w:rPr>
          <w:rFonts w:ascii="Georgia" w:hAnsi="Georgia"/>
          <w:color w:val="333333"/>
          <w:sz w:val="28"/>
          <w:szCs w:val="28"/>
        </w:rPr>
        <w:t xml:space="preserve"> in powers of two. This includes memory chips (for example, 10 address lines give you 2^10 = 1024 addresses). It also includes the capacity of formatted disks with a sector size of 512 Bytes = 2^9 Bytes or a multiple thereof. However, this usage is incompatible to the SI definition of "kilo" as 1000.</w:t>
      </w:r>
    </w:p>
    <w:p w:rsidR="001D79D9" w:rsidRPr="00A76B93" w:rsidRDefault="001D79D9" w:rsidP="00DA2D82">
      <w:pPr>
        <w:rPr>
          <w:rFonts w:ascii="Georgia" w:hAnsi="Georgia"/>
          <w:color w:val="333333"/>
          <w:sz w:val="28"/>
          <w:szCs w:val="28"/>
        </w:rPr>
      </w:pPr>
      <w:r w:rsidRPr="00A76B93">
        <w:rPr>
          <w:rFonts w:ascii="Georgia" w:hAnsi="Georgia"/>
          <w:color w:val="333333"/>
          <w:sz w:val="28"/>
          <w:szCs w:val="28"/>
        </w:rPr>
        <w:t>10^3 = 1000</w:t>
      </w:r>
    </w:p>
    <w:p w:rsidR="00DA2D82" w:rsidRPr="00A76B93" w:rsidRDefault="001D79D9" w:rsidP="000C34A8">
      <w:pPr>
        <w:rPr>
          <w:rFonts w:ascii="Georgia" w:hAnsi="Georgia"/>
          <w:color w:val="333333"/>
          <w:sz w:val="28"/>
          <w:szCs w:val="28"/>
        </w:rPr>
      </w:pPr>
      <w:r w:rsidRPr="00A76B93">
        <w:rPr>
          <w:rFonts w:ascii="Georgia" w:hAnsi="Georgia"/>
          <w:color w:val="333333"/>
          <w:sz w:val="28"/>
          <w:szCs w:val="28"/>
        </w:rPr>
        <w:t>2^10 = 1024</w:t>
      </w:r>
    </w:p>
    <w:sectPr w:rsidR="00DA2D82" w:rsidRPr="00A76B93" w:rsidSect="00DE3E96">
      <w:pgSz w:w="12240" w:h="15840"/>
      <w:pgMar w:top="1080" w:right="117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2F5AE1"/>
    <w:multiLevelType w:val="hybridMultilevel"/>
    <w:tmpl w:val="55EA8C8C"/>
    <w:lvl w:ilvl="0" w:tplc="3F12027A">
      <w:start w:val="1"/>
      <w:numFmt w:val="bullet"/>
      <w:lvlText w:val=""/>
      <w:lvlJc w:val="left"/>
      <w:pPr>
        <w:tabs>
          <w:tab w:val="num" w:pos="720"/>
        </w:tabs>
        <w:ind w:left="720" w:hanging="360"/>
      </w:pPr>
      <w:rPr>
        <w:rFonts w:ascii="Wingdings" w:hAnsi="Wingdings" w:hint="default"/>
      </w:rPr>
    </w:lvl>
    <w:lvl w:ilvl="1" w:tplc="6616EC1A">
      <w:start w:val="39"/>
      <w:numFmt w:val="bullet"/>
      <w:lvlText w:val=""/>
      <w:lvlJc w:val="left"/>
      <w:pPr>
        <w:tabs>
          <w:tab w:val="num" w:pos="630"/>
        </w:tabs>
        <w:ind w:left="630" w:hanging="360"/>
      </w:pPr>
      <w:rPr>
        <w:rFonts w:ascii="Wingdings 2" w:hAnsi="Wingdings 2" w:hint="default"/>
      </w:rPr>
    </w:lvl>
    <w:lvl w:ilvl="2" w:tplc="5252949C" w:tentative="1">
      <w:start w:val="1"/>
      <w:numFmt w:val="bullet"/>
      <w:lvlText w:val=""/>
      <w:lvlJc w:val="left"/>
      <w:pPr>
        <w:tabs>
          <w:tab w:val="num" w:pos="2160"/>
        </w:tabs>
        <w:ind w:left="2160" w:hanging="360"/>
      </w:pPr>
      <w:rPr>
        <w:rFonts w:ascii="Wingdings" w:hAnsi="Wingdings" w:hint="default"/>
      </w:rPr>
    </w:lvl>
    <w:lvl w:ilvl="3" w:tplc="CC3214B4" w:tentative="1">
      <w:start w:val="1"/>
      <w:numFmt w:val="bullet"/>
      <w:lvlText w:val=""/>
      <w:lvlJc w:val="left"/>
      <w:pPr>
        <w:tabs>
          <w:tab w:val="num" w:pos="2880"/>
        </w:tabs>
        <w:ind w:left="2880" w:hanging="360"/>
      </w:pPr>
      <w:rPr>
        <w:rFonts w:ascii="Wingdings" w:hAnsi="Wingdings" w:hint="default"/>
      </w:rPr>
    </w:lvl>
    <w:lvl w:ilvl="4" w:tplc="BC3CE05C" w:tentative="1">
      <w:start w:val="1"/>
      <w:numFmt w:val="bullet"/>
      <w:lvlText w:val=""/>
      <w:lvlJc w:val="left"/>
      <w:pPr>
        <w:tabs>
          <w:tab w:val="num" w:pos="3600"/>
        </w:tabs>
        <w:ind w:left="3600" w:hanging="360"/>
      </w:pPr>
      <w:rPr>
        <w:rFonts w:ascii="Wingdings" w:hAnsi="Wingdings" w:hint="default"/>
      </w:rPr>
    </w:lvl>
    <w:lvl w:ilvl="5" w:tplc="C534EEEA" w:tentative="1">
      <w:start w:val="1"/>
      <w:numFmt w:val="bullet"/>
      <w:lvlText w:val=""/>
      <w:lvlJc w:val="left"/>
      <w:pPr>
        <w:tabs>
          <w:tab w:val="num" w:pos="4320"/>
        </w:tabs>
        <w:ind w:left="4320" w:hanging="360"/>
      </w:pPr>
      <w:rPr>
        <w:rFonts w:ascii="Wingdings" w:hAnsi="Wingdings" w:hint="default"/>
      </w:rPr>
    </w:lvl>
    <w:lvl w:ilvl="6" w:tplc="0F14BDE4" w:tentative="1">
      <w:start w:val="1"/>
      <w:numFmt w:val="bullet"/>
      <w:lvlText w:val=""/>
      <w:lvlJc w:val="left"/>
      <w:pPr>
        <w:tabs>
          <w:tab w:val="num" w:pos="5040"/>
        </w:tabs>
        <w:ind w:left="5040" w:hanging="360"/>
      </w:pPr>
      <w:rPr>
        <w:rFonts w:ascii="Wingdings" w:hAnsi="Wingdings" w:hint="default"/>
      </w:rPr>
    </w:lvl>
    <w:lvl w:ilvl="7" w:tplc="5F3016DE" w:tentative="1">
      <w:start w:val="1"/>
      <w:numFmt w:val="bullet"/>
      <w:lvlText w:val=""/>
      <w:lvlJc w:val="left"/>
      <w:pPr>
        <w:tabs>
          <w:tab w:val="num" w:pos="5760"/>
        </w:tabs>
        <w:ind w:left="5760" w:hanging="360"/>
      </w:pPr>
      <w:rPr>
        <w:rFonts w:ascii="Wingdings" w:hAnsi="Wingdings" w:hint="default"/>
      </w:rPr>
    </w:lvl>
    <w:lvl w:ilvl="8" w:tplc="9B8E2F1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DB"/>
    <w:rsid w:val="000820B8"/>
    <w:rsid w:val="000C34A8"/>
    <w:rsid w:val="00111887"/>
    <w:rsid w:val="001D79D9"/>
    <w:rsid w:val="00280580"/>
    <w:rsid w:val="0033145A"/>
    <w:rsid w:val="003629CF"/>
    <w:rsid w:val="00475A70"/>
    <w:rsid w:val="004E6A95"/>
    <w:rsid w:val="005A341C"/>
    <w:rsid w:val="006027BF"/>
    <w:rsid w:val="00614C58"/>
    <w:rsid w:val="0063011B"/>
    <w:rsid w:val="00756151"/>
    <w:rsid w:val="00816AB3"/>
    <w:rsid w:val="008514B3"/>
    <w:rsid w:val="009359B1"/>
    <w:rsid w:val="00940AF9"/>
    <w:rsid w:val="0099273F"/>
    <w:rsid w:val="009B1F26"/>
    <w:rsid w:val="009E784D"/>
    <w:rsid w:val="00A428C7"/>
    <w:rsid w:val="00A657DB"/>
    <w:rsid w:val="00A65FE1"/>
    <w:rsid w:val="00A76B93"/>
    <w:rsid w:val="00B712D9"/>
    <w:rsid w:val="00BA2ABC"/>
    <w:rsid w:val="00BE0911"/>
    <w:rsid w:val="00C73EF9"/>
    <w:rsid w:val="00CA4626"/>
    <w:rsid w:val="00CC68CA"/>
    <w:rsid w:val="00D13133"/>
    <w:rsid w:val="00DA2D82"/>
    <w:rsid w:val="00DB1214"/>
    <w:rsid w:val="00DD35F9"/>
    <w:rsid w:val="00DE3E96"/>
    <w:rsid w:val="00E81415"/>
    <w:rsid w:val="00EC3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DAE04-2C0A-4A62-B492-3820412B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A2D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2D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2D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2D82"/>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A2D82"/>
  </w:style>
  <w:style w:type="character" w:styleId="Hyperlink">
    <w:name w:val="Hyperlink"/>
    <w:basedOn w:val="DefaultParagraphFont"/>
    <w:uiPriority w:val="99"/>
    <w:semiHidden/>
    <w:unhideWhenUsed/>
    <w:rsid w:val="00DA2D82"/>
    <w:rPr>
      <w:color w:val="0000FF"/>
      <w:u w:val="single"/>
    </w:rPr>
  </w:style>
  <w:style w:type="table" w:styleId="TableGrid">
    <w:name w:val="Table Grid"/>
    <w:basedOn w:val="TableNormal"/>
    <w:uiPriority w:val="39"/>
    <w:rsid w:val="00DE3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7172">
      <w:bodyDiv w:val="1"/>
      <w:marLeft w:val="0"/>
      <w:marRight w:val="0"/>
      <w:marTop w:val="0"/>
      <w:marBottom w:val="0"/>
      <w:divBdr>
        <w:top w:val="none" w:sz="0" w:space="0" w:color="auto"/>
        <w:left w:val="none" w:sz="0" w:space="0" w:color="auto"/>
        <w:bottom w:val="none" w:sz="0" w:space="0" w:color="auto"/>
        <w:right w:val="none" w:sz="0" w:space="0" w:color="auto"/>
      </w:divBdr>
    </w:div>
    <w:div w:id="1579944230">
      <w:bodyDiv w:val="1"/>
      <w:marLeft w:val="0"/>
      <w:marRight w:val="0"/>
      <w:marTop w:val="0"/>
      <w:marBottom w:val="0"/>
      <w:divBdr>
        <w:top w:val="none" w:sz="0" w:space="0" w:color="auto"/>
        <w:left w:val="none" w:sz="0" w:space="0" w:color="auto"/>
        <w:bottom w:val="none" w:sz="0" w:space="0" w:color="auto"/>
        <w:right w:val="none" w:sz="0" w:space="0" w:color="auto"/>
      </w:divBdr>
    </w:div>
    <w:div w:id="20685304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592">
          <w:marLeft w:val="0"/>
          <w:marRight w:val="547"/>
          <w:marTop w:val="115"/>
          <w:marBottom w:val="0"/>
          <w:divBdr>
            <w:top w:val="none" w:sz="0" w:space="0" w:color="auto"/>
            <w:left w:val="none" w:sz="0" w:space="0" w:color="auto"/>
            <w:bottom w:val="none" w:sz="0" w:space="0" w:color="auto"/>
            <w:right w:val="none" w:sz="0" w:space="0" w:color="auto"/>
          </w:divBdr>
        </w:div>
        <w:div w:id="2121214604">
          <w:marLeft w:val="1166"/>
          <w:marRight w:val="0"/>
          <w:marTop w:val="115"/>
          <w:marBottom w:val="0"/>
          <w:divBdr>
            <w:top w:val="none" w:sz="0" w:space="0" w:color="auto"/>
            <w:left w:val="none" w:sz="0" w:space="0" w:color="auto"/>
            <w:bottom w:val="none" w:sz="0" w:space="0" w:color="auto"/>
            <w:right w:val="none" w:sz="0" w:space="0" w:color="auto"/>
          </w:divBdr>
        </w:div>
        <w:div w:id="1316683778">
          <w:marLeft w:val="1166"/>
          <w:marRight w:val="0"/>
          <w:marTop w:val="115"/>
          <w:marBottom w:val="0"/>
          <w:divBdr>
            <w:top w:val="none" w:sz="0" w:space="0" w:color="auto"/>
            <w:left w:val="none" w:sz="0" w:space="0" w:color="auto"/>
            <w:bottom w:val="none" w:sz="0" w:space="0" w:color="auto"/>
            <w:right w:val="none" w:sz="0" w:space="0" w:color="auto"/>
          </w:divBdr>
        </w:div>
        <w:div w:id="157961324">
          <w:marLeft w:val="1166"/>
          <w:marRight w:val="0"/>
          <w:marTop w:val="115"/>
          <w:marBottom w:val="0"/>
          <w:divBdr>
            <w:top w:val="none" w:sz="0" w:space="0" w:color="auto"/>
            <w:left w:val="none" w:sz="0" w:space="0" w:color="auto"/>
            <w:bottom w:val="none" w:sz="0" w:space="0" w:color="auto"/>
            <w:right w:val="none" w:sz="0" w:space="0" w:color="auto"/>
          </w:divBdr>
        </w:div>
        <w:div w:id="5474253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ffen.com/difference/SATA_vs_Serial_Attached_SCSI" TargetMode="External"/><Relationship Id="rId3" Type="http://schemas.openxmlformats.org/officeDocument/2006/relationships/settings" Target="settings.xml"/><Relationship Id="rId7" Type="http://schemas.openxmlformats.org/officeDocument/2006/relationships/hyperlink" Target="http://www.diffen.com/difference/Special:Information/Celsi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ffen.com/difference/SATA_vs_Serial_Attached_SCSI" TargetMode="External"/><Relationship Id="rId11" Type="http://schemas.openxmlformats.org/officeDocument/2006/relationships/theme" Target="theme/theme1.xml"/><Relationship Id="rId5" Type="http://schemas.openxmlformats.org/officeDocument/2006/relationships/hyperlink" Target="http://en.wikipedia.org/wiki/MT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FIRAS SABEEH</dc:creator>
  <cp:keywords/>
  <dc:description/>
  <cp:lastModifiedBy>FIRAS SABEEH</cp:lastModifiedBy>
  <cp:revision>2</cp:revision>
  <dcterms:created xsi:type="dcterms:W3CDTF">2014-12-06T19:31:00Z</dcterms:created>
  <dcterms:modified xsi:type="dcterms:W3CDTF">2014-12-06T19:31:00Z</dcterms:modified>
</cp:coreProperties>
</file>