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9E65" w14:textId="281D90DF" w:rsidR="00ED1B57" w:rsidRPr="009F3473" w:rsidRDefault="001D0762" w:rsidP="00ED1B5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7- </w:t>
      </w:r>
      <w:r w:rsidR="00ED1B57" w:rsidRPr="009F3473">
        <w:rPr>
          <w:rFonts w:ascii="Times New Roman" w:eastAsia="Calibri" w:hAnsi="Times New Roman" w:cs="Times New Roman"/>
          <w:b/>
          <w:bCs/>
          <w:sz w:val="28"/>
          <w:szCs w:val="28"/>
        </w:rPr>
        <w:t xml:space="preserve">Calculation of the </w:t>
      </w:r>
      <w:r w:rsidR="00ED1B57" w:rsidRPr="009F3473">
        <w:rPr>
          <w:rFonts w:ascii="Times New Roman" w:eastAsia="Calibri" w:hAnsi="Times New Roman" w:cs="Times New Roman"/>
          <w:sz w:val="32"/>
          <w:szCs w:val="32"/>
        </w:rPr>
        <w:t>σ</w:t>
      </w:r>
      <w:r w:rsidR="00ED1B57" w:rsidRPr="009F3473">
        <w:rPr>
          <w:rFonts w:ascii="Times New Roman" w:eastAsia="Calibri" w:hAnsi="Times New Roman" w:cs="Times New Roman"/>
          <w:b/>
          <w:bCs/>
          <w:sz w:val="24"/>
          <w:szCs w:val="24"/>
        </w:rPr>
        <w:t>y</w:t>
      </w:r>
      <w:r w:rsidR="00ED1B57" w:rsidRPr="009F3473">
        <w:rPr>
          <w:rFonts w:ascii="Times New Roman" w:eastAsia="Calibri" w:hAnsi="Times New Roman" w:cs="Times New Roman"/>
          <w:b/>
          <w:bCs/>
          <w:sz w:val="28"/>
          <w:szCs w:val="28"/>
        </w:rPr>
        <w:t xml:space="preserve"> and </w:t>
      </w:r>
      <w:r w:rsidR="00ED1B57" w:rsidRPr="009F3473">
        <w:rPr>
          <w:rFonts w:ascii="Times New Roman" w:eastAsia="Calibri" w:hAnsi="Times New Roman" w:cs="Times New Roman"/>
          <w:sz w:val="32"/>
          <w:szCs w:val="32"/>
        </w:rPr>
        <w:t>σ</w:t>
      </w:r>
      <w:r w:rsidR="00ED1B57" w:rsidRPr="009F3473">
        <w:rPr>
          <w:rFonts w:ascii="Times New Roman" w:eastAsia="Calibri" w:hAnsi="Times New Roman" w:cs="Times New Roman"/>
          <w:b/>
          <w:bCs/>
          <w:sz w:val="24"/>
          <w:szCs w:val="24"/>
        </w:rPr>
        <w:t>z</w:t>
      </w:r>
      <w:r w:rsidR="00ED1B57" w:rsidRPr="009F3473">
        <w:rPr>
          <w:rFonts w:ascii="Times New Roman" w:eastAsia="Calibri" w:hAnsi="Times New Roman" w:cs="Times New Roman"/>
          <w:b/>
          <w:bCs/>
          <w:sz w:val="28"/>
          <w:szCs w:val="28"/>
        </w:rPr>
        <w:t xml:space="preserve"> Coefficients. Stability Methodology</w:t>
      </w:r>
    </w:p>
    <w:p w14:paraId="1A273E1E"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10"/>
          <w:szCs w:val="10"/>
        </w:rPr>
      </w:pPr>
    </w:p>
    <w:p w14:paraId="6E86CBEE"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dispersion coefficients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28"/>
          <w:szCs w:val="28"/>
        </w:rPr>
        <w:t xml:space="preserve">) are determined from field measurements. The dispersion coefficients are dependent on: </w:t>
      </w:r>
    </w:p>
    <w:p w14:paraId="444A4ACB"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1-The topography of the area of interest,</w:t>
      </w:r>
    </w:p>
    <w:p w14:paraId="712425C9"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2-the atmospheric stability and 3-the distance and time from the start of the dispersion (Schnelle and Dey 1999).</w:t>
      </w:r>
    </w:p>
    <w:p w14:paraId="12CA7A45"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values in the scientific literature for the functions, σ</w:t>
      </w:r>
      <w:r w:rsidRPr="009F3473">
        <w:rPr>
          <w:rFonts w:ascii="Times New Roman" w:eastAsia="Calibri" w:hAnsi="Times New Roman" w:cs="Times New Roman"/>
          <w:sz w:val="36"/>
          <w:szCs w:val="36"/>
          <w:vertAlign w:val="subscript"/>
        </w:rPr>
        <w:t>y</w:t>
      </w:r>
      <w:r w:rsidRPr="009F3473">
        <w:rPr>
          <w:rFonts w:ascii="Times New Roman" w:eastAsia="Calibri" w:hAnsi="Times New Roman" w:cs="Times New Roman"/>
          <w:sz w:val="28"/>
          <w:szCs w:val="28"/>
        </w:rPr>
        <w:t xml:space="preserve"> and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z</w:t>
      </w:r>
      <w:r w:rsidRPr="009F3473">
        <w:rPr>
          <w:rFonts w:ascii="Times New Roman" w:eastAsia="Calibri" w:hAnsi="Times New Roman" w:cs="Times New Roman"/>
          <w:sz w:val="28"/>
          <w:szCs w:val="28"/>
        </w:rPr>
        <w:t xml:space="preserve"> versus distance from the source and stability conditions have been calculated during field experiments from the period between 1950 and 1960 (Hanna et al. 1981). The area of the experiment was homogeneous, the emissions were performed close to the surface and the measurements were done at distances smaller than 1 km from the source. These field experiments resulted in 1961 in the Pasquill curves (Fig. 6.1). The semi continuous lines are due to the fact that, the experiments were performed at a distance of 1 km away and the continuation of the lines is valid in ideal conditions. Probably the actual curves deviate from these ideal lines since the conditions in the atmosphere are almost never ideal.</w:t>
      </w:r>
    </w:p>
    <w:p w14:paraId="7CC1726B"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Analytical expressions for the functions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y</w:t>
      </w:r>
      <w:r w:rsidRPr="009F3473">
        <w:rPr>
          <w:rFonts w:ascii="Times New Roman" w:eastAsia="Calibri" w:hAnsi="Times New Roman" w:cs="Times New Roman"/>
          <w:sz w:val="28"/>
          <w:szCs w:val="28"/>
        </w:rPr>
        <w:t xml:space="preserve"> and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z</w:t>
      </w:r>
      <w:r w:rsidRPr="009F3473">
        <w:rPr>
          <w:rFonts w:ascii="Times New Roman" w:eastAsia="Calibri" w:hAnsi="Times New Roman" w:cs="Times New Roman"/>
          <w:sz w:val="28"/>
          <w:szCs w:val="28"/>
        </w:rPr>
        <w:t xml:space="preserve"> (dispersion coefficients for the directions x and y) have been presented in the scientific literature. One of the first mathematical expressions was given during 1967 by Smith who showed hourly measurements at distances up to 10 km from a source with height of 108 meters. According to Smith’s measurements the following expressions for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y</w:t>
      </w:r>
      <w:r w:rsidRPr="009F3473">
        <w:rPr>
          <w:rFonts w:ascii="Times New Roman" w:eastAsia="Calibri" w:hAnsi="Times New Roman" w:cs="Times New Roman"/>
          <w:sz w:val="28"/>
          <w:szCs w:val="28"/>
        </w:rPr>
        <w:t xml:space="preserve"> and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z</w:t>
      </w:r>
      <w:r w:rsidRPr="009F3473">
        <w:rPr>
          <w:rFonts w:ascii="Times New Roman" w:eastAsia="Calibri" w:hAnsi="Times New Roman" w:cs="Times New Roman"/>
          <w:sz w:val="28"/>
          <w:szCs w:val="28"/>
        </w:rPr>
        <w:t xml:space="preserve"> are given:</w:t>
      </w:r>
    </w:p>
    <w:p w14:paraId="244F6C68"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15FE9D3D"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63E2DD43"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32"/>
          <w:szCs w:val="32"/>
        </w:rPr>
      </w:pP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36"/>
          <w:szCs w:val="36"/>
        </w:rPr>
        <w:t>σ</w:t>
      </w:r>
      <w:r w:rsidRPr="009F3473">
        <w:rPr>
          <w:rFonts w:ascii="Times New Roman" w:eastAsia="Calibri" w:hAnsi="Times New Roman" w:cs="Times New Roman"/>
          <w:sz w:val="40"/>
          <w:szCs w:val="40"/>
          <w:vertAlign w:val="subscript"/>
        </w:rPr>
        <w:t xml:space="preserve">y </w:t>
      </w:r>
      <w:r w:rsidRPr="009F3473">
        <w:rPr>
          <w:rFonts w:ascii="Times New Roman" w:eastAsia="Calibri" w:hAnsi="Times New Roman" w:cs="Times New Roman"/>
          <w:sz w:val="32"/>
          <w:szCs w:val="32"/>
        </w:rPr>
        <w:t xml:space="preserve">= a χ </w:t>
      </w:r>
      <w:r w:rsidRPr="009F3473">
        <w:rPr>
          <w:rFonts w:ascii="Times New Roman" w:eastAsia="Calibri" w:hAnsi="Times New Roman" w:cs="Times New Roman"/>
          <w:sz w:val="38"/>
          <w:szCs w:val="38"/>
          <w:vertAlign w:val="superscript"/>
        </w:rPr>
        <w:t>b</w:t>
      </w:r>
      <w:r w:rsidRPr="009F3473">
        <w:rPr>
          <w:rFonts w:ascii="Times New Roman" w:eastAsia="Calibri" w:hAnsi="Times New Roman" w:cs="Times New Roman"/>
          <w:sz w:val="32"/>
          <w:szCs w:val="32"/>
        </w:rPr>
        <w:t xml:space="preserve">            and     </w:t>
      </w:r>
      <w:r w:rsidRPr="009F3473">
        <w:rPr>
          <w:rFonts w:ascii="Times New Roman" w:eastAsia="Calibri" w:hAnsi="Times New Roman" w:cs="Times New Roman"/>
          <w:sz w:val="36"/>
          <w:szCs w:val="36"/>
        </w:rPr>
        <w:t>σ</w:t>
      </w:r>
      <w:r w:rsidRPr="009F3473">
        <w:rPr>
          <w:rFonts w:ascii="Times New Roman" w:eastAsia="Calibri" w:hAnsi="Times New Roman" w:cs="Times New Roman"/>
          <w:sz w:val="40"/>
          <w:szCs w:val="40"/>
          <w:vertAlign w:val="subscript"/>
        </w:rPr>
        <w:t>z</w:t>
      </w:r>
      <w:r w:rsidRPr="009F3473">
        <w:rPr>
          <w:rFonts w:ascii="Times New Roman" w:eastAsia="Calibri" w:hAnsi="Times New Roman" w:cs="Times New Roman"/>
          <w:sz w:val="32"/>
          <w:szCs w:val="32"/>
        </w:rPr>
        <w:t xml:space="preserve"> = c χ</w:t>
      </w:r>
      <w:r w:rsidRPr="009F3473">
        <w:rPr>
          <w:rFonts w:ascii="Times New Roman" w:eastAsia="Calibri" w:hAnsi="Times New Roman" w:cs="Times New Roman"/>
          <w:sz w:val="36"/>
          <w:szCs w:val="36"/>
          <w:vertAlign w:val="superscript"/>
        </w:rPr>
        <w:t xml:space="preserve"> d</w:t>
      </w:r>
    </w:p>
    <w:p w14:paraId="114F44B6"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290BA6C7"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3F09DDA9"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78896D2A"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4B2DDD1E"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3988A14A"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lastRenderedPageBreak/>
        <w:drawing>
          <wp:inline distT="0" distB="0" distL="0" distR="0" wp14:anchorId="13083869" wp14:editId="3D68C17A">
            <wp:extent cx="5324475" cy="8505825"/>
            <wp:effectExtent l="0" t="0" r="9525" b="9525"/>
            <wp:docPr id="13" name="Picture 13" descr="D:\msc pictuer\msc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c pictuer\msc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8505825"/>
                    </a:xfrm>
                    <a:prstGeom prst="rect">
                      <a:avLst/>
                    </a:prstGeom>
                    <a:noFill/>
                    <a:ln>
                      <a:noFill/>
                    </a:ln>
                  </pic:spPr>
                </pic:pic>
              </a:graphicData>
            </a:graphic>
          </wp:inline>
        </w:drawing>
      </w:r>
    </w:p>
    <w:p w14:paraId="49A0621C" w14:textId="77777777" w:rsidR="00ED1B57" w:rsidRPr="009F3473" w:rsidRDefault="00ED1B57" w:rsidP="00ED1B57">
      <w:pPr>
        <w:spacing w:after="200" w:line="240" w:lineRule="auto"/>
        <w:rPr>
          <w:rFonts w:ascii="Times New Roman" w:eastAsia="Calibri" w:hAnsi="Times New Roman" w:cs="Times New Roman"/>
          <w:sz w:val="2"/>
          <w:szCs w:val="2"/>
        </w:rPr>
      </w:pPr>
    </w:p>
    <w:p w14:paraId="28E097ED" w14:textId="77777777" w:rsidR="00ED1B57" w:rsidRPr="009F3473" w:rsidRDefault="00ED1B57" w:rsidP="00ED1B57">
      <w:pPr>
        <w:spacing w:after="200" w:line="240" w:lineRule="auto"/>
        <w:rPr>
          <w:rFonts w:ascii="Times New Roman" w:eastAsia="Calibri" w:hAnsi="Times New Roman" w:cs="Times New Roman"/>
          <w:sz w:val="2"/>
          <w:szCs w:val="2"/>
        </w:rPr>
      </w:pPr>
    </w:p>
    <w:p w14:paraId="4B312B13" w14:textId="77777777" w:rsidR="00ED1B57" w:rsidRPr="009F3473" w:rsidRDefault="00ED1B57" w:rsidP="00ED1B57">
      <w:pPr>
        <w:spacing w:after="200" w:line="240" w:lineRule="auto"/>
        <w:rPr>
          <w:rFonts w:ascii="Times New Roman" w:eastAsia="Calibri" w:hAnsi="Times New Roman" w:cs="Times New Roman"/>
          <w:sz w:val="28"/>
          <w:szCs w:val="28"/>
        </w:rPr>
      </w:pPr>
    </w:p>
    <w:p w14:paraId="384E58C9" w14:textId="77777777" w:rsidR="00ED1B57" w:rsidRPr="009F3473" w:rsidRDefault="00ED1B57" w:rsidP="00ED1B57">
      <w:pPr>
        <w:spacing w:after="200" w:line="240" w:lineRule="auto"/>
        <w:jc w:val="center"/>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drawing>
          <wp:inline distT="0" distB="0" distL="0" distR="0" wp14:anchorId="76D33B09" wp14:editId="208CC0AE">
            <wp:extent cx="4796128" cy="3265527"/>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c pictuer\msc15.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22915" cy="3283766"/>
                    </a:xfrm>
                    <a:prstGeom prst="rect">
                      <a:avLst/>
                    </a:prstGeom>
                    <a:noFill/>
                    <a:ln>
                      <a:noFill/>
                    </a:ln>
                  </pic:spPr>
                </pic:pic>
              </a:graphicData>
            </a:graphic>
          </wp:inline>
        </w:drawing>
      </w:r>
    </w:p>
    <w:p w14:paraId="30B0EB8A" w14:textId="4889A79E" w:rsidR="00ED1B57" w:rsidRPr="009F3473" w:rsidRDefault="001D0762" w:rsidP="00ED1B57">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7-1 </w:t>
      </w:r>
      <w:r w:rsidR="00ED1B57" w:rsidRPr="009F3473">
        <w:rPr>
          <w:rFonts w:ascii="Times New Roman" w:eastAsia="Calibri" w:hAnsi="Times New Roman" w:cs="Times New Roman"/>
          <w:b/>
          <w:bCs/>
          <w:sz w:val="28"/>
          <w:szCs w:val="28"/>
        </w:rPr>
        <w:t>Plume Rise</w:t>
      </w:r>
    </w:p>
    <w:p w14:paraId="0E48E2C7"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When the emissions from a stack have a higher temperature than the temperature of the environment, then the plume is rising due to thermal motion. In addition, plume rise is also occurring if the emissions exit the stack with high velocity. Some plumes rise also due to different characteristics of the pollutants (density and composition). These gaseous species have positive upward transport (buoyant plume) if they are thinner than the air and a downward transport if they are heavier than the air.</w:t>
      </w:r>
      <w:r w:rsidRPr="009F3473">
        <w:rPr>
          <w:rFonts w:ascii="AdvP6975" w:eastAsia="Calibri" w:hAnsi="AdvP6975" w:cs="AdvP6975"/>
          <w:color w:val="000000"/>
          <w:sz w:val="20"/>
          <w:szCs w:val="20"/>
        </w:rPr>
        <w:t xml:space="preserve"> </w:t>
      </w:r>
      <w:r w:rsidRPr="009F3473">
        <w:rPr>
          <w:rFonts w:ascii="Times New Roman" w:eastAsia="Calibri" w:hAnsi="Times New Roman" w:cs="Times New Roman"/>
          <w:sz w:val="28"/>
          <w:szCs w:val="28"/>
        </w:rPr>
        <w:t>The rising of warm gaseous plumes can be described in the following stages (Fig. 6.3):</w:t>
      </w:r>
      <w:r w:rsidRPr="009F3473">
        <w:rPr>
          <w:rFonts w:ascii="AdvP6975" w:eastAsia="Calibri" w:hAnsi="AdvP6975" w:cs="AdvP6975"/>
          <w:sz w:val="20"/>
          <w:szCs w:val="20"/>
        </w:rPr>
        <w:t xml:space="preserve"> </w:t>
      </w:r>
    </w:p>
    <w:p w14:paraId="1D30B760" w14:textId="77777777" w:rsidR="00ED1B57" w:rsidRPr="009F3473" w:rsidRDefault="00ED1B57" w:rsidP="00ED1B57">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Thermal stage, which is characterized by:</w:t>
      </w:r>
    </w:p>
    <w:p w14:paraId="70F7917F" w14:textId="77777777" w:rsidR="00ED1B57" w:rsidRPr="009F3473" w:rsidRDefault="00ED1B57" w:rsidP="00ED1B57">
      <w:pPr>
        <w:autoSpaceDE w:val="0"/>
        <w:autoSpaceDN w:val="0"/>
        <w:adjustRightInd w:val="0"/>
        <w:spacing w:after="0" w:line="240" w:lineRule="auto"/>
        <w:ind w:left="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Mixing due to initial turbulence,</w:t>
      </w:r>
    </w:p>
    <w:p w14:paraId="6495BB1B" w14:textId="77777777" w:rsidR="00ED1B57" w:rsidRPr="009F3473" w:rsidRDefault="00ED1B57" w:rsidP="00ED1B57">
      <w:pPr>
        <w:autoSpaceDE w:val="0"/>
        <w:autoSpaceDN w:val="0"/>
        <w:adjustRightInd w:val="0"/>
        <w:spacing w:after="0" w:line="240" w:lineRule="auto"/>
        <w:ind w:left="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Moderate ascending and planar shape,</w:t>
      </w:r>
    </w:p>
    <w:p w14:paraId="5F37F251" w14:textId="77777777" w:rsidR="00ED1B57" w:rsidRPr="009F3473" w:rsidRDefault="00ED1B57" w:rsidP="00ED1B57">
      <w:pPr>
        <w:autoSpaceDE w:val="0"/>
        <w:autoSpaceDN w:val="0"/>
        <w:adjustRightInd w:val="0"/>
        <w:spacing w:after="0" w:line="240" w:lineRule="auto"/>
        <w:ind w:left="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Application of a linear thermal model and finally</w:t>
      </w:r>
    </w:p>
    <w:p w14:paraId="005802C5" w14:textId="77777777" w:rsidR="00ED1B57" w:rsidRPr="009F3473" w:rsidRDefault="00ED1B57" w:rsidP="00ED1B57">
      <w:pPr>
        <w:autoSpaceDE w:val="0"/>
        <w:autoSpaceDN w:val="0"/>
        <w:adjustRightInd w:val="0"/>
        <w:spacing w:after="0" w:line="240" w:lineRule="auto"/>
        <w:ind w:left="993" w:hanging="284"/>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Description of the phenomenon by the Briggs methodology which assumes that the plume reaches its maximum height at this stage.</w:t>
      </w:r>
    </w:p>
    <w:p w14:paraId="4B6EDDE9" w14:textId="77777777" w:rsidR="00ED1B57" w:rsidRPr="009F3473" w:rsidRDefault="00ED1B57" w:rsidP="00ED1B57">
      <w:pPr>
        <w:autoSpaceDE w:val="0"/>
        <w:autoSpaceDN w:val="0"/>
        <w:adjustRightInd w:val="0"/>
        <w:spacing w:after="0" w:line="240" w:lineRule="auto"/>
        <w:ind w:left="993" w:hanging="284"/>
        <w:jc w:val="both"/>
        <w:rPr>
          <w:rFonts w:ascii="Times New Roman" w:eastAsia="Calibri" w:hAnsi="Times New Roman" w:cs="Times New Roman"/>
          <w:sz w:val="16"/>
          <w:szCs w:val="16"/>
        </w:rPr>
      </w:pPr>
    </w:p>
    <w:p w14:paraId="77442323" w14:textId="77777777" w:rsidR="00ED1B57" w:rsidRPr="009F3473" w:rsidRDefault="00ED1B57" w:rsidP="00ED1B57">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Intermediate stage, which is characterized by:</w:t>
      </w:r>
    </w:p>
    <w:p w14:paraId="0C04E8BC"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Dominance of the atmospheric turbulence,</w:t>
      </w:r>
    </w:p>
    <w:p w14:paraId="336120E1"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Breaking of the plume into small compartments and,</w:t>
      </w:r>
    </w:p>
    <w:p w14:paraId="30373480"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A stepwise, increase of the plume diameter.</w:t>
      </w:r>
    </w:p>
    <w:p w14:paraId="50E5E765"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12"/>
          <w:szCs w:val="12"/>
        </w:rPr>
      </w:pPr>
    </w:p>
    <w:p w14:paraId="1EEADFD1" w14:textId="77777777" w:rsidR="00ED1B57" w:rsidRPr="009F3473" w:rsidRDefault="00ED1B57" w:rsidP="00ED1B57">
      <w:pPr>
        <w:numPr>
          <w:ilvl w:val="0"/>
          <w:numId w:val="1"/>
        </w:numPr>
        <w:spacing w:after="200" w:line="240" w:lineRule="auto"/>
        <w:contextualSpacing/>
        <w:rPr>
          <w:rFonts w:ascii="Times New Roman" w:eastAsia="Calibri" w:hAnsi="Times New Roman" w:cs="Times New Roman"/>
          <w:sz w:val="28"/>
          <w:szCs w:val="28"/>
        </w:rPr>
      </w:pPr>
      <w:r w:rsidRPr="009F3473">
        <w:rPr>
          <w:rFonts w:ascii="Times New Roman" w:eastAsia="Calibri" w:hAnsi="Times New Roman" w:cs="Times New Roman"/>
          <w:sz w:val="28"/>
          <w:szCs w:val="28"/>
        </w:rPr>
        <w:t>Diffusion stage, which is characterized by:</w:t>
      </w:r>
    </w:p>
    <w:p w14:paraId="33990B66"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r w:rsidRPr="009F3473">
        <w:rPr>
          <w:rFonts w:ascii="Times New Roman" w:eastAsia="Calibri" w:hAnsi="Times New Roman" w:cs="Times New Roman"/>
          <w:sz w:val="28"/>
          <w:szCs w:val="28"/>
        </w:rPr>
        <w:t>– Dominance of the atmospheric turbulence diffusion</w:t>
      </w:r>
    </w:p>
    <w:p w14:paraId="115723EC"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r w:rsidRPr="009F3473">
        <w:rPr>
          <w:rFonts w:ascii="Times New Roman" w:eastAsia="Calibri" w:hAnsi="Times New Roman" w:cs="Times New Roman"/>
          <w:sz w:val="28"/>
          <w:szCs w:val="28"/>
        </w:rPr>
        <w:t>– Plume formation– even larger diffusion and</w:t>
      </w:r>
    </w:p>
    <w:p w14:paraId="5709BC5F"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r w:rsidRPr="009F3473">
        <w:rPr>
          <w:rFonts w:ascii="Times New Roman" w:eastAsia="Calibri" w:hAnsi="Times New Roman" w:cs="Times New Roman"/>
          <w:sz w:val="28"/>
          <w:szCs w:val="28"/>
        </w:rPr>
        <w:t>– Relatively slow development.</w:t>
      </w:r>
    </w:p>
    <w:p w14:paraId="2B8C65B9"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p>
    <w:p w14:paraId="4427428C"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p>
    <w:p w14:paraId="3130D49E"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p>
    <w:p w14:paraId="3959907C" w14:textId="77777777" w:rsidR="00ED1B57" w:rsidRPr="009F3473" w:rsidRDefault="00ED1B57" w:rsidP="00ED1B57">
      <w:pPr>
        <w:spacing w:after="0" w:line="240" w:lineRule="auto"/>
        <w:ind w:firstLine="851"/>
        <w:rPr>
          <w:rFonts w:ascii="Times New Roman" w:eastAsia="Calibri" w:hAnsi="Times New Roman" w:cs="Times New Roman"/>
          <w:sz w:val="2"/>
          <w:szCs w:val="2"/>
        </w:rPr>
      </w:pPr>
    </w:p>
    <w:p w14:paraId="3C08ABC8" w14:textId="77777777" w:rsidR="00ED1B57" w:rsidRPr="009F3473" w:rsidRDefault="00ED1B57" w:rsidP="00ED1B57">
      <w:pPr>
        <w:spacing w:after="200" w:line="240" w:lineRule="auto"/>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drawing>
          <wp:inline distT="0" distB="0" distL="0" distR="0" wp14:anchorId="52C8A927" wp14:editId="770E241E">
            <wp:extent cx="5709920" cy="8139860"/>
            <wp:effectExtent l="0" t="0" r="5080" b="0"/>
            <wp:docPr id="15" name="Picture 15" descr="D:\msc pictuer\msc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c pictuer\msc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080" cy="8172875"/>
                    </a:xfrm>
                    <a:prstGeom prst="rect">
                      <a:avLst/>
                    </a:prstGeom>
                    <a:noFill/>
                    <a:ln>
                      <a:noFill/>
                    </a:ln>
                  </pic:spPr>
                </pic:pic>
              </a:graphicData>
            </a:graphic>
          </wp:inline>
        </w:drawing>
      </w:r>
    </w:p>
    <w:p w14:paraId="33B2DD1E" w14:textId="0D1A9866" w:rsidR="00ED1B57" w:rsidRPr="009F3473" w:rsidRDefault="00ED1B57" w:rsidP="00ED1B57">
      <w:pPr>
        <w:spacing w:after="200" w:line="240" w:lineRule="auto"/>
        <w:rPr>
          <w:rFonts w:ascii="Times New Roman" w:eastAsia="Calibri" w:hAnsi="Times New Roman" w:cs="Times New Roman"/>
          <w:sz w:val="28"/>
          <w:szCs w:val="28"/>
        </w:rPr>
      </w:pPr>
    </w:p>
    <w:sectPr w:rsidR="00ED1B57" w:rsidRPr="009F3473" w:rsidSect="009029B1">
      <w:headerReference w:type="default" r:id="rId10"/>
      <w:footerReference w:type="default" r:id="rId11"/>
      <w:pgSz w:w="11906" w:h="16838"/>
      <w:pgMar w:top="993" w:right="1133" w:bottom="990"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5E45" w14:textId="77777777" w:rsidR="00551421" w:rsidRDefault="00551421">
      <w:pPr>
        <w:spacing w:after="0" w:line="240" w:lineRule="auto"/>
      </w:pPr>
      <w:r>
        <w:separator/>
      </w:r>
    </w:p>
  </w:endnote>
  <w:endnote w:type="continuationSeparator" w:id="0">
    <w:p w14:paraId="798FE57B" w14:textId="77777777" w:rsidR="00551421" w:rsidRDefault="0055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75">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97141"/>
      <w:docPartObj>
        <w:docPartGallery w:val="Page Numbers (Bottom of Page)"/>
        <w:docPartUnique/>
      </w:docPartObj>
    </w:sdtPr>
    <w:sdtEndPr/>
    <w:sdtContent>
      <w:p w14:paraId="68EFFE63" w14:textId="77777777" w:rsidR="00E96CEE" w:rsidRDefault="00ED1B57">
        <w:pPr>
          <w:pStyle w:val="Footer"/>
          <w:jc w:val="center"/>
        </w:pPr>
        <w:r>
          <w:fldChar w:fldCharType="begin"/>
        </w:r>
        <w:r>
          <w:instrText xml:space="preserve"> PAGE   \* MERGEFORMAT </w:instrText>
        </w:r>
        <w:r>
          <w:fldChar w:fldCharType="separate"/>
        </w:r>
        <w:r>
          <w:rPr>
            <w:noProof/>
            <w:rtl/>
          </w:rPr>
          <w:t>24</w:t>
        </w:r>
        <w:r>
          <w:rPr>
            <w:noProof/>
          </w:rPr>
          <w:fldChar w:fldCharType="end"/>
        </w:r>
      </w:p>
    </w:sdtContent>
  </w:sdt>
  <w:p w14:paraId="59FF1D5D" w14:textId="77777777" w:rsidR="00E96CEE" w:rsidRDefault="00551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E48B" w14:textId="77777777" w:rsidR="00551421" w:rsidRDefault="00551421">
      <w:pPr>
        <w:spacing w:after="0" w:line="240" w:lineRule="auto"/>
      </w:pPr>
      <w:r>
        <w:separator/>
      </w:r>
    </w:p>
  </w:footnote>
  <w:footnote w:type="continuationSeparator" w:id="0">
    <w:p w14:paraId="4AF8176F" w14:textId="77777777" w:rsidR="00551421" w:rsidRDefault="00551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F211" w14:textId="67904AD0" w:rsidR="008265DF" w:rsidRDefault="00ED1B57" w:rsidP="008265DF">
    <w:pPr>
      <w:pStyle w:val="Header"/>
    </w:pPr>
    <w:r>
      <w:t>Lecture (</w:t>
    </w:r>
    <w:r w:rsidR="00FC6DC3">
      <w:t>7</w:t>
    </w:r>
    <w:r>
      <w:t xml:space="preserve">):                                                Air Pollution Measurement          </w:t>
    </w:r>
  </w:p>
  <w:p w14:paraId="059368AC" w14:textId="77777777" w:rsidR="00E96CEE" w:rsidRDefault="00ED1B57" w:rsidP="008265DF">
    <w:pPr>
      <w:pStyle w:val="Header"/>
    </w:pPr>
    <w:r>
      <w:t>Asst. Prof. Dr. Basim I. Wahab Al-Temimi</w:t>
    </w:r>
  </w:p>
  <w:p w14:paraId="03233095" w14:textId="77777777" w:rsidR="008265DF" w:rsidRDefault="00551421" w:rsidP="008265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D1BCE"/>
    <w:multiLevelType w:val="hybridMultilevel"/>
    <w:tmpl w:val="C49ADD04"/>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0A"/>
    <w:rsid w:val="0017755F"/>
    <w:rsid w:val="001D0762"/>
    <w:rsid w:val="00370C0A"/>
    <w:rsid w:val="00551421"/>
    <w:rsid w:val="005E6998"/>
    <w:rsid w:val="007C1648"/>
    <w:rsid w:val="00826870"/>
    <w:rsid w:val="00B5293E"/>
    <w:rsid w:val="00D61464"/>
    <w:rsid w:val="00E07D15"/>
    <w:rsid w:val="00E1442D"/>
    <w:rsid w:val="00ED1B57"/>
    <w:rsid w:val="00FC6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EB49"/>
  <w15:chartTrackingRefBased/>
  <w15:docId w15:val="{6C0B0E99-4DFF-44CB-B60C-788E0CDC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57"/>
  </w:style>
  <w:style w:type="paragraph" w:styleId="Footer">
    <w:name w:val="footer"/>
    <w:basedOn w:val="Normal"/>
    <w:link w:val="FooterChar"/>
    <w:uiPriority w:val="99"/>
    <w:unhideWhenUsed/>
    <w:rsid w:val="00ED1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8</cp:revision>
  <dcterms:created xsi:type="dcterms:W3CDTF">2021-04-15T21:32:00Z</dcterms:created>
  <dcterms:modified xsi:type="dcterms:W3CDTF">2021-05-25T05:35:00Z</dcterms:modified>
</cp:coreProperties>
</file>