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707" w:rsidRDefault="00B93F07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Lec</w:t>
      </w:r>
      <w:proofErr w:type="spellEnd"/>
      <w:r>
        <w:rPr>
          <w:rFonts w:asciiTheme="majorBidi" w:hAnsiTheme="majorBidi" w:cstheme="majorBidi"/>
          <w:sz w:val="28"/>
          <w:szCs w:val="28"/>
        </w:rPr>
        <w:t>(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8)                            </w:t>
      </w:r>
      <w:proofErr w:type="spellStart"/>
      <w:r>
        <w:rPr>
          <w:rFonts w:asciiTheme="majorBidi" w:hAnsiTheme="majorBidi" w:cstheme="majorBidi"/>
          <w:sz w:val="28"/>
          <w:szCs w:val="28"/>
        </w:rPr>
        <w:t>Immunotechnology</w:t>
      </w:r>
      <w:proofErr w:type="spellEnd"/>
    </w:p>
    <w:p w:rsidR="00B93F07" w:rsidRDefault="00B93F07">
      <w:pPr>
        <w:rPr>
          <w:rFonts w:asciiTheme="majorBidi" w:hAnsiTheme="majorBidi" w:cstheme="majorBidi"/>
          <w:sz w:val="28"/>
          <w:szCs w:val="28"/>
          <w:rtl/>
        </w:rPr>
      </w:pPr>
      <w:bookmarkStart w:id="0" w:name="_GoBack"/>
      <w:bookmarkEnd w:id="0"/>
      <w:r>
        <w:rPr>
          <w:rFonts w:asciiTheme="majorBidi" w:hAnsiTheme="majorBidi" w:cstheme="majorBidi"/>
          <w:sz w:val="28"/>
          <w:szCs w:val="28"/>
        </w:rPr>
        <w:t xml:space="preserve">Prof. Dr.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Ekhlass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 w:cstheme="majorBidi"/>
          <w:sz w:val="28"/>
          <w:szCs w:val="28"/>
        </w:rPr>
        <w:t>Noori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Ali</w:t>
      </w:r>
    </w:p>
    <w:p w:rsidR="00765DC5" w:rsidRPr="00765DC5" w:rsidRDefault="00765DC5" w:rsidP="00765DC5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765DC5">
        <w:rPr>
          <w:rFonts w:asciiTheme="majorBidi" w:hAnsiTheme="majorBidi" w:cstheme="majorBidi"/>
          <w:b/>
          <w:bCs/>
          <w:sz w:val="28"/>
          <w:szCs w:val="28"/>
        </w:rPr>
        <w:t>CLINICAL HISTOCOMPATIBILITY TESTING</w:t>
      </w:r>
    </w:p>
    <w:p w:rsidR="00765DC5" w:rsidRPr="00765DC5" w:rsidRDefault="00765DC5" w:rsidP="0072008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proofErr w:type="gramStart"/>
      <w:r w:rsidRPr="00765DC5">
        <w:rPr>
          <w:rFonts w:asciiTheme="majorBidi" w:hAnsiTheme="majorBidi" w:cstheme="majorBidi"/>
          <w:sz w:val="28"/>
          <w:szCs w:val="28"/>
        </w:rPr>
        <w:t>Appreciation</w:t>
      </w:r>
      <w:r w:rsidR="00720086">
        <w:rPr>
          <w:rFonts w:asciiTheme="majorBidi" w:hAnsiTheme="majorBidi" w:cstheme="majorBidi"/>
          <w:sz w:val="28"/>
          <w:szCs w:val="28"/>
        </w:rPr>
        <w:t xml:space="preserve"> </w:t>
      </w:r>
      <w:r w:rsidRPr="00765DC5">
        <w:rPr>
          <w:rFonts w:asciiTheme="majorBidi" w:hAnsiTheme="majorBidi" w:cstheme="majorBidi"/>
          <w:sz w:val="28"/>
          <w:szCs w:val="28"/>
        </w:rPr>
        <w:t xml:space="preserve"> of</w:t>
      </w:r>
      <w:proofErr w:type="gramEnd"/>
      <w:r w:rsidRPr="00765DC5">
        <w:rPr>
          <w:rFonts w:asciiTheme="majorBidi" w:hAnsiTheme="majorBidi" w:cstheme="majorBidi"/>
          <w:sz w:val="28"/>
          <w:szCs w:val="28"/>
        </w:rPr>
        <w:t xml:space="preserve"> the beneficial role of </w:t>
      </w:r>
      <w:r w:rsidRPr="00361E2A">
        <w:rPr>
          <w:rFonts w:asciiTheme="majorBidi" w:hAnsiTheme="majorBidi" w:cstheme="majorBidi"/>
          <w:b/>
          <w:bCs/>
          <w:sz w:val="28"/>
          <w:szCs w:val="28"/>
          <w:highlight w:val="yellow"/>
        </w:rPr>
        <w:t>HLA matching</w:t>
      </w:r>
      <w:r w:rsidR="004021FE" w:rsidRPr="00361E2A">
        <w:rPr>
          <w:rFonts w:asciiTheme="majorBidi" w:hAnsiTheme="majorBidi" w:cstheme="majorBidi" w:hint="cs"/>
          <w:sz w:val="28"/>
          <w:szCs w:val="28"/>
          <w:highlight w:val="yellow"/>
          <w:rtl/>
        </w:rPr>
        <w:t xml:space="preserve"> </w:t>
      </w:r>
      <w:r w:rsidRPr="00361E2A">
        <w:rPr>
          <w:rFonts w:asciiTheme="majorBidi" w:hAnsiTheme="majorBidi" w:cstheme="majorBidi"/>
          <w:sz w:val="28"/>
          <w:szCs w:val="28"/>
          <w:highlight w:val="yellow"/>
        </w:rPr>
        <w:t>and</w:t>
      </w:r>
      <w:r w:rsidR="004021FE" w:rsidRPr="00361E2A">
        <w:rPr>
          <w:rFonts w:asciiTheme="majorBidi" w:hAnsiTheme="majorBidi" w:cstheme="majorBidi" w:hint="cs"/>
          <w:sz w:val="28"/>
          <w:szCs w:val="28"/>
          <w:highlight w:val="yellow"/>
          <w:rtl/>
        </w:rPr>
        <w:t xml:space="preserve"> </w:t>
      </w:r>
      <w:r w:rsidRPr="00361E2A">
        <w:rPr>
          <w:rFonts w:asciiTheme="majorBidi" w:hAnsiTheme="majorBidi" w:cstheme="majorBidi"/>
          <w:sz w:val="28"/>
          <w:szCs w:val="28"/>
          <w:highlight w:val="yellow"/>
        </w:rPr>
        <w:t>the detrimental role of antibody to HLA proteins on graft</w:t>
      </w:r>
      <w:r w:rsidR="004021FE" w:rsidRPr="00361E2A">
        <w:rPr>
          <w:rFonts w:asciiTheme="majorBidi" w:hAnsiTheme="majorBidi" w:cstheme="majorBidi" w:hint="cs"/>
          <w:sz w:val="28"/>
          <w:szCs w:val="28"/>
          <w:highlight w:val="yellow"/>
          <w:rtl/>
        </w:rPr>
        <w:t xml:space="preserve"> </w:t>
      </w:r>
      <w:r w:rsidRPr="00361E2A">
        <w:rPr>
          <w:rFonts w:asciiTheme="majorBidi" w:hAnsiTheme="majorBidi" w:cstheme="majorBidi"/>
          <w:sz w:val="28"/>
          <w:szCs w:val="28"/>
          <w:highlight w:val="yellow"/>
        </w:rPr>
        <w:t>survival provided the impetus for development and application</w:t>
      </w:r>
      <w:r w:rsidR="00720086" w:rsidRPr="00361E2A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361E2A">
        <w:rPr>
          <w:rFonts w:asciiTheme="majorBidi" w:hAnsiTheme="majorBidi" w:cstheme="majorBidi"/>
          <w:sz w:val="28"/>
          <w:szCs w:val="28"/>
          <w:highlight w:val="yellow"/>
        </w:rPr>
        <w:t>of specialized testing to aid in the selection of the</w:t>
      </w:r>
      <w:r w:rsidR="00720086" w:rsidRPr="00361E2A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361E2A">
        <w:rPr>
          <w:rFonts w:asciiTheme="majorBidi" w:hAnsiTheme="majorBidi" w:cstheme="majorBidi"/>
          <w:sz w:val="28"/>
          <w:szCs w:val="28"/>
          <w:highlight w:val="yellow"/>
        </w:rPr>
        <w:t xml:space="preserve">most appropriate donors for patients needing </w:t>
      </w:r>
      <w:proofErr w:type="spellStart"/>
      <w:r w:rsidRPr="00361E2A">
        <w:rPr>
          <w:rFonts w:asciiTheme="majorBidi" w:hAnsiTheme="majorBidi" w:cstheme="majorBidi"/>
          <w:sz w:val="28"/>
          <w:szCs w:val="28"/>
          <w:highlight w:val="yellow"/>
        </w:rPr>
        <w:t>transplantation.Histocompatibility</w:t>
      </w:r>
      <w:proofErr w:type="spellEnd"/>
      <w:r w:rsidRPr="00361E2A">
        <w:rPr>
          <w:rFonts w:asciiTheme="majorBidi" w:hAnsiTheme="majorBidi" w:cstheme="majorBidi"/>
          <w:sz w:val="28"/>
          <w:szCs w:val="28"/>
          <w:highlight w:val="yellow"/>
        </w:rPr>
        <w:t xml:space="preserve"> laboratories provide</w:t>
      </w:r>
      <w:r w:rsidRPr="00765DC5">
        <w:rPr>
          <w:rFonts w:asciiTheme="majorBidi" w:hAnsiTheme="majorBidi" w:cstheme="majorBidi"/>
          <w:sz w:val="28"/>
          <w:szCs w:val="28"/>
        </w:rPr>
        <w:t xml:space="preserve"> specialized</w:t>
      </w:r>
      <w:r w:rsidR="00720086">
        <w:rPr>
          <w:rFonts w:asciiTheme="majorBidi" w:hAnsiTheme="majorBidi" w:cstheme="majorBidi"/>
          <w:sz w:val="28"/>
          <w:szCs w:val="28"/>
        </w:rPr>
        <w:t xml:space="preserve"> </w:t>
      </w:r>
      <w:r w:rsidRPr="00765DC5">
        <w:rPr>
          <w:rFonts w:asciiTheme="majorBidi" w:hAnsiTheme="majorBidi" w:cstheme="majorBidi"/>
          <w:sz w:val="28"/>
          <w:szCs w:val="28"/>
        </w:rPr>
        <w:t>testing for both solid-organ and stem cell transplantation</w:t>
      </w:r>
      <w:r w:rsidR="00720086">
        <w:rPr>
          <w:rFonts w:asciiTheme="majorBidi" w:hAnsiTheme="majorBidi" w:cstheme="majorBidi"/>
          <w:sz w:val="28"/>
          <w:szCs w:val="28"/>
        </w:rPr>
        <w:t xml:space="preserve"> </w:t>
      </w:r>
      <w:r w:rsidRPr="00765DC5">
        <w:rPr>
          <w:rFonts w:asciiTheme="majorBidi" w:hAnsiTheme="majorBidi" w:cstheme="majorBidi"/>
          <w:sz w:val="28"/>
          <w:szCs w:val="28"/>
        </w:rPr>
        <w:t>programs. Two main activities are carried out by these laboratories</w:t>
      </w:r>
      <w:r w:rsidR="00720086">
        <w:rPr>
          <w:rFonts w:asciiTheme="majorBidi" w:hAnsiTheme="majorBidi" w:cstheme="majorBidi"/>
          <w:sz w:val="28"/>
          <w:szCs w:val="28"/>
        </w:rPr>
        <w:t xml:space="preserve"> </w:t>
      </w:r>
      <w:r w:rsidRPr="00765DC5">
        <w:rPr>
          <w:rFonts w:asciiTheme="majorBidi" w:hAnsiTheme="majorBidi" w:cstheme="majorBidi"/>
          <w:sz w:val="28"/>
          <w:szCs w:val="28"/>
        </w:rPr>
        <w:t>in support of transplantation, HLA typing, and</w:t>
      </w:r>
    </w:p>
    <w:p w:rsidR="00765DC5" w:rsidRPr="00765DC5" w:rsidRDefault="00765DC5" w:rsidP="00765DC5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proofErr w:type="gramStart"/>
      <w:r w:rsidRPr="00765DC5">
        <w:rPr>
          <w:rFonts w:asciiTheme="majorBidi" w:hAnsiTheme="majorBidi" w:cstheme="majorBidi"/>
          <w:b/>
          <w:bCs/>
          <w:sz w:val="28"/>
          <w:szCs w:val="28"/>
        </w:rPr>
        <w:t>HLA antibody screening</w:t>
      </w:r>
      <w:r w:rsidRPr="00765DC5">
        <w:rPr>
          <w:rFonts w:asciiTheme="majorBidi" w:hAnsiTheme="majorBidi" w:cstheme="majorBidi"/>
          <w:sz w:val="28"/>
          <w:szCs w:val="28"/>
        </w:rPr>
        <w:t>/identification.</w:t>
      </w:r>
      <w:proofErr w:type="gramEnd"/>
    </w:p>
    <w:p w:rsidR="00765DC5" w:rsidRPr="00765DC5" w:rsidRDefault="00765DC5" w:rsidP="00765DC5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765DC5">
        <w:rPr>
          <w:rFonts w:asciiTheme="majorBidi" w:hAnsiTheme="majorBidi" w:cstheme="majorBidi"/>
          <w:b/>
          <w:bCs/>
          <w:sz w:val="28"/>
          <w:szCs w:val="28"/>
        </w:rPr>
        <w:t>HLA Typing</w:t>
      </w:r>
    </w:p>
    <w:p w:rsidR="00765DC5" w:rsidRPr="00361E2A" w:rsidRDefault="00765DC5" w:rsidP="0072008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  <w:highlight w:val="yellow"/>
        </w:rPr>
      </w:pPr>
      <w:r w:rsidRPr="00765DC5">
        <w:rPr>
          <w:rFonts w:asciiTheme="majorBidi" w:hAnsiTheme="majorBidi" w:cstheme="majorBidi"/>
          <w:b/>
          <w:bCs/>
          <w:sz w:val="28"/>
          <w:szCs w:val="28"/>
        </w:rPr>
        <w:t xml:space="preserve">HLA typing </w:t>
      </w:r>
      <w:r w:rsidRPr="00765DC5">
        <w:rPr>
          <w:rFonts w:asciiTheme="majorBidi" w:hAnsiTheme="majorBidi" w:cstheme="majorBidi"/>
          <w:sz w:val="28"/>
          <w:szCs w:val="28"/>
        </w:rPr>
        <w:t xml:space="preserve">is the </w:t>
      </w:r>
      <w:r w:rsidRPr="00361E2A">
        <w:rPr>
          <w:rFonts w:asciiTheme="majorBidi" w:hAnsiTheme="majorBidi" w:cstheme="majorBidi"/>
          <w:sz w:val="28"/>
          <w:szCs w:val="28"/>
          <w:highlight w:val="yellow"/>
        </w:rPr>
        <w:t>phenotypic or genotypic definition of the</w:t>
      </w:r>
      <w:r w:rsidR="00720086" w:rsidRPr="00361E2A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361E2A">
        <w:rPr>
          <w:rFonts w:asciiTheme="majorBidi" w:hAnsiTheme="majorBidi" w:cstheme="majorBidi"/>
          <w:sz w:val="28"/>
          <w:szCs w:val="28"/>
          <w:highlight w:val="yellow"/>
        </w:rPr>
        <w:t xml:space="preserve">HLA antigens or genes in a transplant candidate or </w:t>
      </w:r>
      <w:proofErr w:type="spellStart"/>
      <w:r w:rsidRPr="00361E2A">
        <w:rPr>
          <w:rFonts w:asciiTheme="majorBidi" w:hAnsiTheme="majorBidi" w:cstheme="majorBidi"/>
          <w:sz w:val="28"/>
          <w:szCs w:val="28"/>
          <w:highlight w:val="yellow"/>
        </w:rPr>
        <w:t>donor.For</w:t>
      </w:r>
      <w:proofErr w:type="spellEnd"/>
      <w:r w:rsidRPr="00361E2A">
        <w:rPr>
          <w:rFonts w:asciiTheme="majorBidi" w:hAnsiTheme="majorBidi" w:cstheme="majorBidi"/>
          <w:sz w:val="28"/>
          <w:szCs w:val="28"/>
          <w:highlight w:val="yellow"/>
        </w:rPr>
        <w:t xml:space="preserve"> clinical HLA testing, phenotypes or genotypes of the classical</w:t>
      </w:r>
      <w:r w:rsidR="00720086" w:rsidRPr="00361E2A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361E2A">
        <w:rPr>
          <w:rFonts w:asciiTheme="majorBidi" w:hAnsiTheme="majorBidi" w:cstheme="majorBidi"/>
          <w:sz w:val="28"/>
          <w:szCs w:val="28"/>
          <w:highlight w:val="yellow"/>
        </w:rPr>
        <w:t>transplant antigens or genes are determined (HLA-A, B,</w:t>
      </w:r>
    </w:p>
    <w:p w:rsidR="00765DC5" w:rsidRPr="00765DC5" w:rsidRDefault="00765DC5" w:rsidP="0072008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361E2A">
        <w:rPr>
          <w:rFonts w:asciiTheme="majorBidi" w:hAnsiTheme="majorBidi" w:cstheme="majorBidi"/>
          <w:sz w:val="28"/>
          <w:szCs w:val="28"/>
          <w:highlight w:val="yellow"/>
        </w:rPr>
        <w:t>Cw</w:t>
      </w:r>
      <w:proofErr w:type="spellEnd"/>
      <w:r w:rsidRPr="00361E2A">
        <w:rPr>
          <w:rFonts w:asciiTheme="majorBidi" w:hAnsiTheme="majorBidi" w:cstheme="majorBidi"/>
          <w:sz w:val="28"/>
          <w:szCs w:val="28"/>
          <w:highlight w:val="yellow"/>
        </w:rPr>
        <w:t>, DR, DQ). This information is used to find the most suitable</w:t>
      </w:r>
      <w:r w:rsidR="00720086" w:rsidRPr="00361E2A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361E2A">
        <w:rPr>
          <w:rFonts w:asciiTheme="majorBidi" w:hAnsiTheme="majorBidi" w:cstheme="majorBidi"/>
          <w:sz w:val="28"/>
          <w:szCs w:val="28"/>
          <w:highlight w:val="yellow"/>
        </w:rPr>
        <w:t>donor–recipient combination from an immunologic</w:t>
      </w:r>
      <w:r w:rsidR="00720086" w:rsidRPr="00361E2A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361E2A">
        <w:rPr>
          <w:rFonts w:asciiTheme="majorBidi" w:hAnsiTheme="majorBidi" w:cstheme="majorBidi"/>
          <w:sz w:val="28"/>
          <w:szCs w:val="28"/>
          <w:highlight w:val="yellow"/>
        </w:rPr>
        <w:t>standpoint</w:t>
      </w:r>
      <w:r w:rsidRPr="00765DC5">
        <w:rPr>
          <w:rFonts w:asciiTheme="majorBidi" w:hAnsiTheme="majorBidi" w:cstheme="majorBidi"/>
          <w:sz w:val="28"/>
          <w:szCs w:val="28"/>
        </w:rPr>
        <w:t>. It must be stressed that other considerations go</w:t>
      </w:r>
      <w:r w:rsidR="00720086">
        <w:rPr>
          <w:rFonts w:asciiTheme="majorBidi" w:hAnsiTheme="majorBidi" w:cstheme="majorBidi"/>
          <w:sz w:val="28"/>
          <w:szCs w:val="28"/>
        </w:rPr>
        <w:t xml:space="preserve"> </w:t>
      </w:r>
      <w:r w:rsidRPr="00765DC5">
        <w:rPr>
          <w:rFonts w:asciiTheme="majorBidi" w:hAnsiTheme="majorBidi" w:cstheme="majorBidi"/>
          <w:sz w:val="28"/>
          <w:szCs w:val="28"/>
        </w:rPr>
        <w:t>into the choice of a particular donor for any given patient, be</w:t>
      </w:r>
    </w:p>
    <w:p w:rsidR="00765DC5" w:rsidRPr="00765DC5" w:rsidRDefault="00765DC5" w:rsidP="00765DC5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proofErr w:type="gramStart"/>
      <w:r w:rsidRPr="00765DC5">
        <w:rPr>
          <w:rFonts w:asciiTheme="majorBidi" w:hAnsiTheme="majorBidi" w:cstheme="majorBidi"/>
          <w:sz w:val="28"/>
          <w:szCs w:val="28"/>
        </w:rPr>
        <w:t>it</w:t>
      </w:r>
      <w:proofErr w:type="gramEnd"/>
      <w:r w:rsidRPr="00765DC5">
        <w:rPr>
          <w:rFonts w:asciiTheme="majorBidi" w:hAnsiTheme="majorBidi" w:cstheme="majorBidi"/>
          <w:sz w:val="28"/>
          <w:szCs w:val="28"/>
        </w:rPr>
        <w:t xml:space="preserve"> </w:t>
      </w:r>
      <w:r w:rsidRPr="00361E2A">
        <w:rPr>
          <w:rFonts w:asciiTheme="majorBidi" w:hAnsiTheme="majorBidi" w:cstheme="majorBidi"/>
          <w:sz w:val="28"/>
          <w:szCs w:val="28"/>
          <w:highlight w:val="yellow"/>
        </w:rPr>
        <w:t>a solid-organ or stem cell transplant</w:t>
      </w:r>
      <w:r w:rsidRPr="00765DC5">
        <w:rPr>
          <w:rFonts w:asciiTheme="majorBidi" w:hAnsiTheme="majorBidi" w:cstheme="majorBidi"/>
          <w:sz w:val="28"/>
          <w:szCs w:val="28"/>
        </w:rPr>
        <w:t>.</w:t>
      </w:r>
    </w:p>
    <w:p w:rsidR="00765DC5" w:rsidRPr="00765DC5" w:rsidRDefault="00765DC5" w:rsidP="00765DC5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765DC5">
        <w:rPr>
          <w:rFonts w:asciiTheme="majorBidi" w:hAnsiTheme="majorBidi" w:cstheme="majorBidi"/>
          <w:b/>
          <w:bCs/>
          <w:sz w:val="28"/>
          <w:szCs w:val="28"/>
        </w:rPr>
        <w:t xml:space="preserve">HLA </w:t>
      </w:r>
      <w:proofErr w:type="spellStart"/>
      <w:r w:rsidRPr="00765DC5">
        <w:rPr>
          <w:rFonts w:asciiTheme="majorBidi" w:hAnsiTheme="majorBidi" w:cstheme="majorBidi"/>
          <w:b/>
          <w:bCs/>
          <w:sz w:val="28"/>
          <w:szCs w:val="28"/>
        </w:rPr>
        <w:t>Phenotyping</w:t>
      </w:r>
      <w:proofErr w:type="spellEnd"/>
    </w:p>
    <w:p w:rsidR="00765DC5" w:rsidRPr="00765DC5" w:rsidRDefault="00765DC5" w:rsidP="0072008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361E2A">
        <w:rPr>
          <w:rFonts w:asciiTheme="majorBidi" w:hAnsiTheme="majorBidi" w:cstheme="majorBidi"/>
          <w:sz w:val="28"/>
          <w:szCs w:val="28"/>
          <w:highlight w:val="yellow"/>
        </w:rPr>
        <w:t xml:space="preserve">The classic procedure for determining the </w:t>
      </w:r>
      <w:r w:rsidRPr="00361E2A">
        <w:rPr>
          <w:rFonts w:asciiTheme="majorBidi" w:hAnsiTheme="majorBidi" w:cstheme="majorBidi"/>
          <w:b/>
          <w:bCs/>
          <w:sz w:val="28"/>
          <w:szCs w:val="28"/>
          <w:highlight w:val="yellow"/>
        </w:rPr>
        <w:t>HLA phenotype</w:t>
      </w:r>
      <w:r w:rsidR="00720086" w:rsidRPr="00361E2A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</w:t>
      </w:r>
      <w:r w:rsidRPr="00361E2A">
        <w:rPr>
          <w:rFonts w:asciiTheme="majorBidi" w:hAnsiTheme="majorBidi" w:cstheme="majorBidi"/>
          <w:sz w:val="28"/>
          <w:szCs w:val="28"/>
          <w:highlight w:val="yellow"/>
        </w:rPr>
        <w:t xml:space="preserve">is the </w:t>
      </w:r>
      <w:r w:rsidRPr="00361E2A">
        <w:rPr>
          <w:rFonts w:asciiTheme="majorBidi" w:hAnsiTheme="majorBidi" w:cstheme="majorBidi"/>
          <w:b/>
          <w:bCs/>
          <w:sz w:val="28"/>
          <w:szCs w:val="28"/>
          <w:highlight w:val="yellow"/>
        </w:rPr>
        <w:t>complement-dependent cytotoxicity (CDC</w:t>
      </w:r>
      <w:proofErr w:type="gramStart"/>
      <w:r w:rsidRPr="00361E2A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  <w:r w:rsidRPr="00361E2A">
        <w:rPr>
          <w:rFonts w:asciiTheme="majorBidi" w:hAnsiTheme="majorBidi" w:cstheme="majorBidi"/>
          <w:sz w:val="28"/>
          <w:szCs w:val="28"/>
          <w:highlight w:val="yellow"/>
        </w:rPr>
        <w:t>test</w:t>
      </w:r>
      <w:proofErr w:type="gramEnd"/>
      <w:r w:rsidRPr="00361E2A">
        <w:rPr>
          <w:rFonts w:asciiTheme="majorBidi" w:hAnsiTheme="majorBidi" w:cstheme="majorBidi"/>
          <w:sz w:val="28"/>
          <w:szCs w:val="28"/>
          <w:highlight w:val="yellow"/>
        </w:rPr>
        <w:t>. Panels of antisera or monoclonal antibodies that define</w:t>
      </w:r>
      <w:r w:rsidR="00720086" w:rsidRPr="00361E2A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361E2A">
        <w:rPr>
          <w:rFonts w:asciiTheme="majorBidi" w:hAnsiTheme="majorBidi" w:cstheme="majorBidi"/>
          <w:sz w:val="28"/>
          <w:szCs w:val="28"/>
          <w:highlight w:val="yellow"/>
        </w:rPr>
        <w:t>individual or groups of immunologically related HLA antigens</w:t>
      </w:r>
    </w:p>
    <w:p w:rsidR="00765DC5" w:rsidRPr="00765DC5" w:rsidRDefault="00765DC5" w:rsidP="0072008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proofErr w:type="gramStart"/>
      <w:r w:rsidRPr="004E72A1">
        <w:rPr>
          <w:rFonts w:asciiTheme="majorBidi" w:hAnsiTheme="majorBidi" w:cstheme="majorBidi"/>
          <w:sz w:val="28"/>
          <w:szCs w:val="28"/>
          <w:highlight w:val="yellow"/>
        </w:rPr>
        <w:t>are</w:t>
      </w:r>
      <w:proofErr w:type="gramEnd"/>
      <w:r w:rsidRPr="004E72A1">
        <w:rPr>
          <w:rFonts w:asciiTheme="majorBidi" w:hAnsiTheme="majorBidi" w:cstheme="majorBidi"/>
          <w:sz w:val="28"/>
          <w:szCs w:val="28"/>
          <w:highlight w:val="yellow"/>
        </w:rPr>
        <w:t xml:space="preserve"> incubated with lymphocytes from the individual </w:t>
      </w:r>
      <w:proofErr w:type="spellStart"/>
      <w:r w:rsidRPr="004E72A1">
        <w:rPr>
          <w:rFonts w:asciiTheme="majorBidi" w:hAnsiTheme="majorBidi" w:cstheme="majorBidi"/>
          <w:sz w:val="28"/>
          <w:szCs w:val="28"/>
          <w:highlight w:val="yellow"/>
        </w:rPr>
        <w:t>tobe</w:t>
      </w:r>
      <w:proofErr w:type="spellEnd"/>
      <w:r w:rsidRPr="004E72A1">
        <w:rPr>
          <w:rFonts w:asciiTheme="majorBidi" w:hAnsiTheme="majorBidi" w:cstheme="majorBidi"/>
          <w:sz w:val="28"/>
          <w:szCs w:val="28"/>
          <w:highlight w:val="yellow"/>
        </w:rPr>
        <w:t xml:space="preserve"> HLA typed. Purified T lymphocytes are used for </w:t>
      </w:r>
      <w:proofErr w:type="spellStart"/>
      <w:r w:rsidRPr="004E72A1">
        <w:rPr>
          <w:rFonts w:asciiTheme="majorBidi" w:hAnsiTheme="majorBidi" w:cstheme="majorBidi"/>
          <w:sz w:val="28"/>
          <w:szCs w:val="28"/>
          <w:highlight w:val="yellow"/>
        </w:rPr>
        <w:t>HLAclass</w:t>
      </w:r>
      <w:proofErr w:type="spellEnd"/>
      <w:r w:rsidRPr="004E72A1">
        <w:rPr>
          <w:rFonts w:asciiTheme="majorBidi" w:hAnsiTheme="majorBidi" w:cstheme="majorBidi"/>
          <w:sz w:val="28"/>
          <w:szCs w:val="28"/>
          <w:highlight w:val="yellow"/>
        </w:rPr>
        <w:t xml:space="preserve"> I typing, while purified B lymphocytes are</w:t>
      </w:r>
      <w:r w:rsidRPr="00765DC5">
        <w:rPr>
          <w:rFonts w:asciiTheme="majorBidi" w:hAnsiTheme="majorBidi" w:cstheme="majorBidi"/>
          <w:sz w:val="28"/>
          <w:szCs w:val="28"/>
        </w:rPr>
        <w:t xml:space="preserve"> </w:t>
      </w:r>
      <w:r w:rsidRPr="004E72A1">
        <w:rPr>
          <w:rFonts w:asciiTheme="majorBidi" w:hAnsiTheme="majorBidi" w:cstheme="majorBidi"/>
          <w:sz w:val="28"/>
          <w:szCs w:val="28"/>
          <w:highlight w:val="yellow"/>
        </w:rPr>
        <w:t xml:space="preserve">used </w:t>
      </w:r>
      <w:proofErr w:type="spellStart"/>
      <w:r w:rsidRPr="004E72A1">
        <w:rPr>
          <w:rFonts w:asciiTheme="majorBidi" w:hAnsiTheme="majorBidi" w:cstheme="majorBidi"/>
          <w:sz w:val="28"/>
          <w:szCs w:val="28"/>
          <w:highlight w:val="yellow"/>
        </w:rPr>
        <w:t>forHLA</w:t>
      </w:r>
      <w:proofErr w:type="spellEnd"/>
      <w:r w:rsidRPr="004E72A1">
        <w:rPr>
          <w:rFonts w:asciiTheme="majorBidi" w:hAnsiTheme="majorBidi" w:cstheme="majorBidi"/>
          <w:sz w:val="28"/>
          <w:szCs w:val="28"/>
          <w:highlight w:val="yellow"/>
        </w:rPr>
        <w:t xml:space="preserve"> class II typing</w:t>
      </w:r>
      <w:r w:rsidRPr="00765DC5">
        <w:rPr>
          <w:rFonts w:asciiTheme="majorBidi" w:hAnsiTheme="majorBidi" w:cstheme="majorBidi"/>
          <w:sz w:val="28"/>
          <w:szCs w:val="28"/>
        </w:rPr>
        <w:t xml:space="preserve">. </w:t>
      </w:r>
      <w:r w:rsidRPr="004E72A1">
        <w:rPr>
          <w:rFonts w:asciiTheme="majorBidi" w:hAnsiTheme="majorBidi" w:cstheme="majorBidi"/>
          <w:sz w:val="28"/>
          <w:szCs w:val="28"/>
          <w:highlight w:val="yellow"/>
        </w:rPr>
        <w:t>After incubation with the antisera, complement</w:t>
      </w:r>
      <w:r w:rsidR="00720086" w:rsidRPr="004E72A1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4E72A1">
        <w:rPr>
          <w:rFonts w:asciiTheme="majorBidi" w:hAnsiTheme="majorBidi" w:cstheme="majorBidi"/>
          <w:sz w:val="28"/>
          <w:szCs w:val="28"/>
          <w:highlight w:val="yellow"/>
        </w:rPr>
        <w:t>is added. In the presence of bound antibody, which</w:t>
      </w:r>
      <w:r w:rsidR="00720086" w:rsidRPr="004E72A1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4E72A1">
        <w:rPr>
          <w:rFonts w:asciiTheme="majorBidi" w:hAnsiTheme="majorBidi" w:cstheme="majorBidi"/>
          <w:sz w:val="28"/>
          <w:szCs w:val="28"/>
          <w:highlight w:val="yellow"/>
        </w:rPr>
        <w:t>occurs only if the lymphocyte expresses the HLA antigen</w:t>
      </w:r>
      <w:r w:rsidR="00720086" w:rsidRPr="004E72A1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4E72A1">
        <w:rPr>
          <w:rFonts w:asciiTheme="majorBidi" w:hAnsiTheme="majorBidi" w:cstheme="majorBidi"/>
          <w:sz w:val="28"/>
          <w:szCs w:val="28"/>
          <w:highlight w:val="yellow"/>
        </w:rPr>
        <w:t>targeted by the antisera, complement is activated and cells</w:t>
      </w:r>
      <w:r w:rsidR="00720086" w:rsidRPr="004E72A1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4E72A1">
        <w:rPr>
          <w:rFonts w:asciiTheme="majorBidi" w:hAnsiTheme="majorBidi" w:cstheme="majorBidi"/>
          <w:sz w:val="28"/>
          <w:szCs w:val="28"/>
          <w:highlight w:val="yellow"/>
        </w:rPr>
        <w:t>are killed. A vital dye is then added that distinguishes live</w:t>
      </w:r>
      <w:r w:rsidR="00720086" w:rsidRPr="004E72A1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4E72A1">
        <w:rPr>
          <w:rFonts w:asciiTheme="majorBidi" w:hAnsiTheme="majorBidi" w:cstheme="majorBidi"/>
          <w:sz w:val="28"/>
          <w:szCs w:val="28"/>
          <w:highlight w:val="yellow"/>
        </w:rPr>
        <w:t>cells from dead when they are viewed microscopically. Using</w:t>
      </w:r>
      <w:r w:rsidR="00720086" w:rsidRPr="004E72A1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4E72A1">
        <w:rPr>
          <w:rFonts w:asciiTheme="majorBidi" w:hAnsiTheme="majorBidi" w:cstheme="majorBidi"/>
          <w:sz w:val="28"/>
          <w:szCs w:val="28"/>
          <w:highlight w:val="yellow"/>
        </w:rPr>
        <w:t>this assay, an extensive array of</w:t>
      </w:r>
      <w:r w:rsidRPr="00765DC5">
        <w:rPr>
          <w:rFonts w:asciiTheme="majorBidi" w:hAnsiTheme="majorBidi" w:cstheme="majorBidi"/>
          <w:sz w:val="28"/>
          <w:szCs w:val="28"/>
        </w:rPr>
        <w:t xml:space="preserve"> </w:t>
      </w:r>
      <w:r w:rsidRPr="004E72A1">
        <w:rPr>
          <w:rFonts w:asciiTheme="majorBidi" w:hAnsiTheme="majorBidi" w:cstheme="majorBidi"/>
          <w:sz w:val="28"/>
          <w:szCs w:val="28"/>
          <w:highlight w:val="yellow"/>
        </w:rPr>
        <w:t xml:space="preserve">HLA antigens can be </w:t>
      </w:r>
      <w:proofErr w:type="gramStart"/>
      <w:r w:rsidRPr="004E72A1">
        <w:rPr>
          <w:rFonts w:asciiTheme="majorBidi" w:hAnsiTheme="majorBidi" w:cstheme="majorBidi"/>
          <w:sz w:val="28"/>
          <w:szCs w:val="28"/>
          <w:highlight w:val="yellow"/>
        </w:rPr>
        <w:t>defined(</w:t>
      </w:r>
      <w:proofErr w:type="gramEnd"/>
      <w:r w:rsidRPr="004E72A1">
        <w:rPr>
          <w:rFonts w:asciiTheme="majorBidi" w:hAnsiTheme="majorBidi" w:cstheme="majorBidi"/>
          <w:sz w:val="28"/>
          <w:szCs w:val="28"/>
          <w:highlight w:val="yellow"/>
        </w:rPr>
        <w:t xml:space="preserve">Table 1).There are several limitations to the CDC method </w:t>
      </w:r>
      <w:proofErr w:type="spellStart"/>
      <w:r w:rsidRPr="004E72A1">
        <w:rPr>
          <w:rFonts w:asciiTheme="majorBidi" w:hAnsiTheme="majorBidi" w:cstheme="majorBidi"/>
          <w:sz w:val="28"/>
          <w:szCs w:val="28"/>
          <w:highlight w:val="yellow"/>
        </w:rPr>
        <w:t>forHLA</w:t>
      </w:r>
      <w:proofErr w:type="spellEnd"/>
      <w:r w:rsidRPr="004E72A1">
        <w:rPr>
          <w:rFonts w:asciiTheme="majorBidi" w:hAnsiTheme="majorBidi" w:cstheme="majorBidi"/>
          <w:sz w:val="28"/>
          <w:szCs w:val="28"/>
          <w:highlight w:val="yellow"/>
        </w:rPr>
        <w:t xml:space="preserve"> typing. Viable lymphocytes must be used, which</w:t>
      </w:r>
      <w:r w:rsidR="004E72A1" w:rsidRPr="004E72A1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4E72A1">
        <w:rPr>
          <w:rFonts w:asciiTheme="majorBidi" w:hAnsiTheme="majorBidi" w:cstheme="majorBidi"/>
          <w:sz w:val="28"/>
          <w:szCs w:val="28"/>
          <w:highlight w:val="yellow"/>
        </w:rPr>
        <w:t>demands timely performance of the assay. Separation of</w:t>
      </w:r>
      <w:r w:rsidR="00720086" w:rsidRPr="004E72A1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4E72A1">
        <w:rPr>
          <w:rFonts w:asciiTheme="majorBidi" w:hAnsiTheme="majorBidi" w:cstheme="majorBidi"/>
          <w:sz w:val="28"/>
          <w:szCs w:val="28"/>
          <w:highlight w:val="yellow"/>
        </w:rPr>
        <w:t xml:space="preserve">T and B lymphocytes is required for definition of class </w:t>
      </w:r>
      <w:proofErr w:type="spellStart"/>
      <w:r w:rsidRPr="004E72A1">
        <w:rPr>
          <w:rFonts w:asciiTheme="majorBidi" w:hAnsiTheme="majorBidi" w:cstheme="majorBidi"/>
          <w:sz w:val="28"/>
          <w:szCs w:val="28"/>
          <w:highlight w:val="yellow"/>
        </w:rPr>
        <w:t>Iversus</w:t>
      </w:r>
      <w:proofErr w:type="spellEnd"/>
      <w:r w:rsidRPr="004E72A1">
        <w:rPr>
          <w:rFonts w:asciiTheme="majorBidi" w:hAnsiTheme="majorBidi" w:cstheme="majorBidi"/>
          <w:sz w:val="28"/>
          <w:szCs w:val="28"/>
          <w:highlight w:val="yellow"/>
        </w:rPr>
        <w:t xml:space="preserve"> class II antigens.</w:t>
      </w:r>
      <w:r w:rsidRPr="00765DC5">
        <w:rPr>
          <w:rFonts w:asciiTheme="majorBidi" w:hAnsiTheme="majorBidi" w:cstheme="majorBidi"/>
          <w:sz w:val="28"/>
          <w:szCs w:val="28"/>
        </w:rPr>
        <w:t xml:space="preserve"> The source of antisera for HLA typing</w:t>
      </w:r>
    </w:p>
    <w:p w:rsidR="00765DC5" w:rsidRPr="00765DC5" w:rsidRDefault="00765DC5" w:rsidP="006B248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proofErr w:type="gramStart"/>
      <w:r w:rsidRPr="00765DC5">
        <w:rPr>
          <w:rFonts w:asciiTheme="majorBidi" w:hAnsiTheme="majorBidi" w:cstheme="majorBidi"/>
          <w:sz w:val="28"/>
          <w:szCs w:val="28"/>
        </w:rPr>
        <w:lastRenderedPageBreak/>
        <w:t>is</w:t>
      </w:r>
      <w:proofErr w:type="gramEnd"/>
      <w:r w:rsidRPr="00765DC5">
        <w:rPr>
          <w:rFonts w:asciiTheme="majorBidi" w:hAnsiTheme="majorBidi" w:cstheme="majorBidi"/>
          <w:sz w:val="28"/>
          <w:szCs w:val="28"/>
        </w:rPr>
        <w:t xml:space="preserve"> not always consistent or reliable. Thus, reagents can</w:t>
      </w:r>
      <w:r w:rsidR="006B2482">
        <w:rPr>
          <w:rFonts w:asciiTheme="majorBidi" w:hAnsiTheme="majorBidi" w:cstheme="majorBidi"/>
          <w:sz w:val="28"/>
          <w:szCs w:val="28"/>
        </w:rPr>
        <w:t xml:space="preserve"> </w:t>
      </w:r>
      <w:r w:rsidRPr="00765DC5">
        <w:rPr>
          <w:rFonts w:asciiTheme="majorBidi" w:hAnsiTheme="majorBidi" w:cstheme="majorBidi"/>
          <w:sz w:val="28"/>
          <w:szCs w:val="28"/>
        </w:rPr>
        <w:t>vary in quality or quantity over time. Finally, the level of</w:t>
      </w:r>
      <w:r w:rsidR="006B2482">
        <w:rPr>
          <w:rFonts w:asciiTheme="majorBidi" w:hAnsiTheme="majorBidi" w:cstheme="majorBidi"/>
          <w:sz w:val="28"/>
          <w:szCs w:val="28"/>
        </w:rPr>
        <w:t xml:space="preserve"> </w:t>
      </w:r>
      <w:r w:rsidRPr="00765DC5">
        <w:rPr>
          <w:rFonts w:asciiTheme="majorBidi" w:hAnsiTheme="majorBidi" w:cstheme="majorBidi"/>
          <w:sz w:val="28"/>
          <w:szCs w:val="28"/>
        </w:rPr>
        <w:t>resolution (i.e., the ability to distinguish two closely related</w:t>
      </w:r>
      <w:r w:rsidR="006B2482">
        <w:rPr>
          <w:rFonts w:asciiTheme="majorBidi" w:hAnsiTheme="majorBidi" w:cstheme="majorBidi"/>
          <w:sz w:val="28"/>
          <w:szCs w:val="28"/>
        </w:rPr>
        <w:t xml:space="preserve"> </w:t>
      </w:r>
      <w:r w:rsidRPr="00765DC5">
        <w:rPr>
          <w:rFonts w:asciiTheme="majorBidi" w:hAnsiTheme="majorBidi" w:cstheme="majorBidi"/>
          <w:sz w:val="28"/>
          <w:szCs w:val="28"/>
        </w:rPr>
        <w:t>yet distinct HLA antigens) is limited. The limits of resolution</w:t>
      </w:r>
      <w:r w:rsidR="006B2482">
        <w:rPr>
          <w:rFonts w:asciiTheme="majorBidi" w:hAnsiTheme="majorBidi" w:cstheme="majorBidi"/>
          <w:sz w:val="28"/>
          <w:szCs w:val="28"/>
        </w:rPr>
        <w:t xml:space="preserve"> </w:t>
      </w:r>
      <w:r w:rsidRPr="00765DC5">
        <w:rPr>
          <w:rFonts w:asciiTheme="majorBidi" w:hAnsiTheme="majorBidi" w:cstheme="majorBidi"/>
          <w:sz w:val="28"/>
          <w:szCs w:val="28"/>
        </w:rPr>
        <w:t>don’t significantly impact the role of this technology</w:t>
      </w:r>
      <w:r w:rsidR="006B2482">
        <w:rPr>
          <w:rFonts w:asciiTheme="majorBidi" w:hAnsiTheme="majorBidi" w:cstheme="majorBidi"/>
          <w:sz w:val="28"/>
          <w:szCs w:val="28"/>
        </w:rPr>
        <w:t xml:space="preserve"> </w:t>
      </w:r>
      <w:r w:rsidRPr="00765DC5">
        <w:rPr>
          <w:rFonts w:asciiTheme="majorBidi" w:hAnsiTheme="majorBidi" w:cstheme="majorBidi"/>
          <w:sz w:val="28"/>
          <w:szCs w:val="28"/>
        </w:rPr>
        <w:t xml:space="preserve">for matching solid-organ donors and recipients. </w:t>
      </w:r>
      <w:proofErr w:type="spellStart"/>
      <w:r w:rsidRPr="00765DC5">
        <w:rPr>
          <w:rFonts w:asciiTheme="majorBidi" w:hAnsiTheme="majorBidi" w:cstheme="majorBidi"/>
          <w:sz w:val="28"/>
          <w:szCs w:val="28"/>
        </w:rPr>
        <w:t>However</w:t>
      </w:r>
      <w:proofErr w:type="gramStart"/>
      <w:r w:rsidRPr="00765DC5">
        <w:rPr>
          <w:rFonts w:asciiTheme="majorBidi" w:hAnsiTheme="majorBidi" w:cstheme="majorBidi"/>
          <w:sz w:val="28"/>
          <w:szCs w:val="28"/>
        </w:rPr>
        <w:t>,for</w:t>
      </w:r>
      <w:proofErr w:type="spellEnd"/>
      <w:proofErr w:type="gramEnd"/>
      <w:r w:rsidRPr="00765DC5">
        <w:rPr>
          <w:rFonts w:asciiTheme="majorBidi" w:hAnsiTheme="majorBidi" w:cstheme="majorBidi"/>
          <w:sz w:val="28"/>
          <w:szCs w:val="28"/>
        </w:rPr>
        <w:t xml:space="preserve"> unrelated stem cell transplantation, a higher level of</w:t>
      </w:r>
    </w:p>
    <w:p w:rsidR="00765DC5" w:rsidRPr="00765DC5" w:rsidRDefault="00765DC5" w:rsidP="006B248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proofErr w:type="gramStart"/>
      <w:r w:rsidRPr="00765DC5">
        <w:rPr>
          <w:rFonts w:asciiTheme="majorBidi" w:hAnsiTheme="majorBidi" w:cstheme="majorBidi"/>
          <w:sz w:val="28"/>
          <w:szCs w:val="28"/>
        </w:rPr>
        <w:t>resolution</w:t>
      </w:r>
      <w:proofErr w:type="gramEnd"/>
      <w:r w:rsidRPr="00765DC5">
        <w:rPr>
          <w:rFonts w:asciiTheme="majorBidi" w:hAnsiTheme="majorBidi" w:cstheme="majorBidi"/>
          <w:sz w:val="28"/>
          <w:szCs w:val="28"/>
        </w:rPr>
        <w:t xml:space="preserve"> is required. </w:t>
      </w:r>
      <w:r w:rsidRPr="006652D0">
        <w:rPr>
          <w:rFonts w:asciiTheme="majorBidi" w:hAnsiTheme="majorBidi" w:cstheme="majorBidi"/>
          <w:sz w:val="28"/>
          <w:szCs w:val="28"/>
          <w:highlight w:val="yellow"/>
        </w:rPr>
        <w:t>DNA-based (molecular) HLA</w:t>
      </w:r>
      <w:r w:rsidR="006B2482" w:rsidRPr="006652D0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6652D0">
        <w:rPr>
          <w:rFonts w:asciiTheme="majorBidi" w:hAnsiTheme="majorBidi" w:cstheme="majorBidi"/>
          <w:sz w:val="28"/>
          <w:szCs w:val="28"/>
          <w:highlight w:val="yellow"/>
        </w:rPr>
        <w:t>typing methods are now commonly employed in histocompatibility</w:t>
      </w:r>
      <w:r w:rsidR="006B2482" w:rsidRPr="006652D0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6652D0">
        <w:rPr>
          <w:rFonts w:asciiTheme="majorBidi" w:hAnsiTheme="majorBidi" w:cstheme="majorBidi"/>
          <w:sz w:val="28"/>
          <w:szCs w:val="28"/>
          <w:highlight w:val="yellow"/>
        </w:rPr>
        <w:t>laboratories, because they address the limitations</w:t>
      </w:r>
      <w:r w:rsidR="006B2482" w:rsidRPr="006652D0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6652D0">
        <w:rPr>
          <w:rFonts w:asciiTheme="majorBidi" w:hAnsiTheme="majorBidi" w:cstheme="majorBidi"/>
          <w:sz w:val="28"/>
          <w:szCs w:val="28"/>
          <w:highlight w:val="yellow"/>
        </w:rPr>
        <w:t>of CDC-based methods and are amenable to higher</w:t>
      </w:r>
      <w:r w:rsidR="006B2482" w:rsidRPr="006652D0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6652D0">
        <w:rPr>
          <w:rFonts w:asciiTheme="majorBidi" w:hAnsiTheme="majorBidi" w:cstheme="majorBidi"/>
          <w:sz w:val="28"/>
          <w:szCs w:val="28"/>
          <w:highlight w:val="yellow"/>
        </w:rPr>
        <w:t>throughput formats</w:t>
      </w:r>
      <w:r w:rsidRPr="00765DC5">
        <w:rPr>
          <w:rFonts w:asciiTheme="majorBidi" w:hAnsiTheme="majorBidi" w:cstheme="majorBidi"/>
          <w:sz w:val="28"/>
          <w:szCs w:val="28"/>
        </w:rPr>
        <w:t>.</w:t>
      </w:r>
    </w:p>
    <w:p w:rsidR="00765DC5" w:rsidRPr="00765DC5" w:rsidRDefault="00765DC5" w:rsidP="00765DC5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765DC5">
        <w:rPr>
          <w:rFonts w:asciiTheme="majorBidi" w:hAnsiTheme="majorBidi" w:cstheme="majorBidi"/>
          <w:b/>
          <w:bCs/>
          <w:sz w:val="28"/>
          <w:szCs w:val="28"/>
        </w:rPr>
        <w:t>HLA Genotyping</w:t>
      </w:r>
    </w:p>
    <w:p w:rsidR="00765DC5" w:rsidRPr="00765DC5" w:rsidRDefault="00765DC5" w:rsidP="00E16F0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6652D0">
        <w:rPr>
          <w:rFonts w:asciiTheme="majorBidi" w:hAnsiTheme="majorBidi" w:cstheme="majorBidi"/>
          <w:sz w:val="28"/>
          <w:szCs w:val="28"/>
          <w:highlight w:val="yellow"/>
        </w:rPr>
        <w:t>Molecular-based HLA genotyping methods use polymerase</w:t>
      </w:r>
      <w:r w:rsidR="00E16F0F" w:rsidRPr="006652D0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6652D0">
        <w:rPr>
          <w:rFonts w:asciiTheme="majorBidi" w:hAnsiTheme="majorBidi" w:cstheme="majorBidi"/>
          <w:sz w:val="28"/>
          <w:szCs w:val="28"/>
          <w:highlight w:val="yellow"/>
        </w:rPr>
        <w:t>chain reaction (PCR)–based amplification of HLA genes</w:t>
      </w:r>
      <w:r w:rsidR="00E16F0F" w:rsidRPr="006652D0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6652D0">
        <w:rPr>
          <w:rFonts w:asciiTheme="majorBidi" w:hAnsiTheme="majorBidi" w:cstheme="majorBidi"/>
          <w:sz w:val="28"/>
          <w:szCs w:val="28"/>
          <w:highlight w:val="yellow"/>
        </w:rPr>
        <w:t>followed by analysis of the amplified DNA to identify the</w:t>
      </w:r>
      <w:r w:rsidR="00E16F0F" w:rsidRPr="006652D0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6652D0">
        <w:rPr>
          <w:rFonts w:asciiTheme="majorBidi" w:hAnsiTheme="majorBidi" w:cstheme="majorBidi"/>
          <w:sz w:val="28"/>
          <w:szCs w:val="28"/>
          <w:highlight w:val="yellow"/>
        </w:rPr>
        <w:t>specific HLA allele or group of alleles</w:t>
      </w:r>
      <w:r w:rsidRPr="00765DC5">
        <w:rPr>
          <w:rFonts w:asciiTheme="majorBidi" w:hAnsiTheme="majorBidi" w:cstheme="majorBidi"/>
          <w:sz w:val="28"/>
          <w:szCs w:val="28"/>
        </w:rPr>
        <w:t>. The most common</w:t>
      </w:r>
      <w:r w:rsidR="00E16F0F">
        <w:rPr>
          <w:rFonts w:asciiTheme="majorBidi" w:hAnsiTheme="majorBidi" w:cstheme="majorBidi"/>
          <w:sz w:val="28"/>
          <w:szCs w:val="28"/>
        </w:rPr>
        <w:t xml:space="preserve"> </w:t>
      </w:r>
      <w:r w:rsidRPr="00765DC5">
        <w:rPr>
          <w:rFonts w:asciiTheme="majorBidi" w:hAnsiTheme="majorBidi" w:cstheme="majorBidi"/>
          <w:sz w:val="28"/>
          <w:szCs w:val="28"/>
        </w:rPr>
        <w:t xml:space="preserve">approaches for analysis include PCR amplification </w:t>
      </w:r>
      <w:r w:rsidRPr="006652D0">
        <w:rPr>
          <w:rFonts w:asciiTheme="majorBidi" w:hAnsiTheme="majorBidi" w:cstheme="majorBidi"/>
          <w:sz w:val="28"/>
          <w:szCs w:val="28"/>
          <w:highlight w:val="yellow"/>
        </w:rPr>
        <w:t>of HLA</w:t>
      </w:r>
      <w:r w:rsidR="006652D0" w:rsidRPr="006652D0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6652D0">
        <w:rPr>
          <w:rFonts w:asciiTheme="majorBidi" w:hAnsiTheme="majorBidi" w:cstheme="majorBidi"/>
          <w:sz w:val="28"/>
          <w:szCs w:val="28"/>
          <w:highlight w:val="yellow"/>
        </w:rPr>
        <w:t>genes</w:t>
      </w:r>
      <w:r w:rsidRPr="00765DC5">
        <w:rPr>
          <w:rFonts w:asciiTheme="majorBidi" w:hAnsiTheme="majorBidi" w:cstheme="majorBidi"/>
          <w:sz w:val="28"/>
          <w:szCs w:val="28"/>
        </w:rPr>
        <w:t xml:space="preserve"> with panels of primer pairs, each of which amplifies</w:t>
      </w:r>
      <w:r w:rsidR="00E16F0F">
        <w:rPr>
          <w:rFonts w:asciiTheme="majorBidi" w:hAnsiTheme="majorBidi" w:cstheme="majorBidi"/>
          <w:sz w:val="28"/>
          <w:szCs w:val="28"/>
        </w:rPr>
        <w:t xml:space="preserve"> </w:t>
      </w:r>
      <w:r w:rsidRPr="00765DC5">
        <w:rPr>
          <w:rFonts w:asciiTheme="majorBidi" w:hAnsiTheme="majorBidi" w:cstheme="majorBidi"/>
          <w:sz w:val="28"/>
          <w:szCs w:val="28"/>
        </w:rPr>
        <w:t>specific alleles or related allele groups. Amplification is</w:t>
      </w:r>
    </w:p>
    <w:p w:rsidR="00765DC5" w:rsidRPr="00765DC5" w:rsidRDefault="00765DC5" w:rsidP="00B20AB5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proofErr w:type="gramStart"/>
      <w:r w:rsidRPr="00765DC5">
        <w:rPr>
          <w:rFonts w:asciiTheme="majorBidi" w:hAnsiTheme="majorBidi" w:cstheme="majorBidi"/>
          <w:sz w:val="28"/>
          <w:szCs w:val="28"/>
        </w:rPr>
        <w:t>detected</w:t>
      </w:r>
      <w:proofErr w:type="gramEnd"/>
      <w:r w:rsidRPr="00765DC5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765DC5">
        <w:rPr>
          <w:rFonts w:asciiTheme="majorBidi" w:hAnsiTheme="majorBidi" w:cstheme="majorBidi"/>
          <w:sz w:val="28"/>
          <w:szCs w:val="28"/>
        </w:rPr>
        <w:t>agarose</w:t>
      </w:r>
      <w:proofErr w:type="spellEnd"/>
      <w:r w:rsidRPr="00765DC5">
        <w:rPr>
          <w:rFonts w:asciiTheme="majorBidi" w:hAnsiTheme="majorBidi" w:cstheme="majorBidi"/>
          <w:sz w:val="28"/>
          <w:szCs w:val="28"/>
        </w:rPr>
        <w:t xml:space="preserve"> gel electrophoresis </w:t>
      </w:r>
      <w:r w:rsidRPr="00765DC5">
        <w:rPr>
          <w:rFonts w:asciiTheme="majorBidi" w:hAnsiTheme="majorBidi" w:cstheme="majorBidi"/>
          <w:b/>
          <w:bCs/>
          <w:sz w:val="28"/>
          <w:szCs w:val="28"/>
        </w:rPr>
        <w:t xml:space="preserve">(Fig. </w:t>
      </w:r>
      <w:r w:rsidR="00B20AB5">
        <w:rPr>
          <w:rFonts w:asciiTheme="majorBidi" w:hAnsiTheme="majorBidi" w:cstheme="majorBidi"/>
          <w:b/>
          <w:bCs/>
          <w:sz w:val="28"/>
          <w:szCs w:val="28"/>
        </w:rPr>
        <w:t>1</w:t>
      </w:r>
      <w:r w:rsidRPr="00765DC5">
        <w:rPr>
          <w:rFonts w:asciiTheme="majorBidi" w:hAnsiTheme="majorBidi" w:cstheme="majorBidi"/>
          <w:b/>
          <w:bCs/>
          <w:sz w:val="28"/>
          <w:szCs w:val="28"/>
        </w:rPr>
        <w:t xml:space="preserve">). </w:t>
      </w:r>
      <w:r w:rsidRPr="00765DC5">
        <w:rPr>
          <w:rFonts w:asciiTheme="majorBidi" w:hAnsiTheme="majorBidi" w:cstheme="majorBidi"/>
          <w:sz w:val="28"/>
          <w:szCs w:val="28"/>
        </w:rPr>
        <w:t>Only</w:t>
      </w:r>
      <w:r w:rsidR="00E16F0F">
        <w:rPr>
          <w:rFonts w:asciiTheme="majorBidi" w:hAnsiTheme="majorBidi" w:cstheme="majorBidi"/>
          <w:sz w:val="28"/>
          <w:szCs w:val="28"/>
        </w:rPr>
        <w:t xml:space="preserve"> </w:t>
      </w:r>
      <w:r w:rsidRPr="00765DC5">
        <w:rPr>
          <w:rFonts w:asciiTheme="majorBidi" w:hAnsiTheme="majorBidi" w:cstheme="majorBidi"/>
          <w:sz w:val="28"/>
          <w:szCs w:val="28"/>
        </w:rPr>
        <w:t>those primer pairs that bind to the target gene result in</w:t>
      </w:r>
      <w:r w:rsidR="00E16F0F">
        <w:rPr>
          <w:rFonts w:asciiTheme="majorBidi" w:hAnsiTheme="majorBidi" w:cstheme="majorBidi"/>
          <w:sz w:val="28"/>
          <w:szCs w:val="28"/>
        </w:rPr>
        <w:t xml:space="preserve"> </w:t>
      </w:r>
      <w:r w:rsidRPr="00765DC5">
        <w:rPr>
          <w:rFonts w:asciiTheme="majorBidi" w:hAnsiTheme="majorBidi" w:cstheme="majorBidi"/>
          <w:sz w:val="28"/>
          <w:szCs w:val="28"/>
        </w:rPr>
        <w:t>detection of an amplification product. The HLA type is then</w:t>
      </w:r>
      <w:r w:rsidR="00E16F0F">
        <w:rPr>
          <w:rFonts w:asciiTheme="majorBidi" w:hAnsiTheme="majorBidi" w:cstheme="majorBidi"/>
          <w:sz w:val="28"/>
          <w:szCs w:val="28"/>
        </w:rPr>
        <w:t xml:space="preserve"> </w:t>
      </w:r>
      <w:r w:rsidRPr="00765DC5">
        <w:rPr>
          <w:rFonts w:asciiTheme="majorBidi" w:hAnsiTheme="majorBidi" w:cstheme="majorBidi"/>
          <w:sz w:val="28"/>
          <w:szCs w:val="28"/>
        </w:rPr>
        <w:t>identified by determining which primers resulted in amplification.</w:t>
      </w:r>
    </w:p>
    <w:p w:rsidR="00765DC5" w:rsidRDefault="00765DC5" w:rsidP="00E16F0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i/>
          <w:iCs/>
          <w:sz w:val="28"/>
          <w:szCs w:val="28"/>
        </w:rPr>
      </w:pPr>
      <w:r w:rsidRPr="00765DC5">
        <w:rPr>
          <w:rFonts w:asciiTheme="majorBidi" w:hAnsiTheme="majorBidi" w:cstheme="majorBidi"/>
          <w:sz w:val="28"/>
          <w:szCs w:val="28"/>
        </w:rPr>
        <w:t>A second common approach for HLA genotyping</w:t>
      </w:r>
      <w:r w:rsidR="00E16F0F">
        <w:rPr>
          <w:rFonts w:asciiTheme="majorBidi" w:hAnsiTheme="majorBidi" w:cstheme="majorBidi"/>
          <w:sz w:val="28"/>
          <w:szCs w:val="28"/>
        </w:rPr>
        <w:t xml:space="preserve"> </w:t>
      </w:r>
      <w:r w:rsidRPr="00765DC5">
        <w:rPr>
          <w:rFonts w:asciiTheme="majorBidi" w:hAnsiTheme="majorBidi" w:cstheme="majorBidi"/>
          <w:sz w:val="28"/>
          <w:szCs w:val="28"/>
        </w:rPr>
        <w:t>is to perform a single PCR reaction that will amplify all</w:t>
      </w:r>
      <w:r w:rsidR="00E16F0F">
        <w:rPr>
          <w:rFonts w:asciiTheme="majorBidi" w:hAnsiTheme="majorBidi" w:cstheme="majorBidi"/>
          <w:sz w:val="28"/>
          <w:szCs w:val="28"/>
        </w:rPr>
        <w:t xml:space="preserve"> </w:t>
      </w:r>
      <w:r w:rsidRPr="00765DC5">
        <w:rPr>
          <w:rFonts w:asciiTheme="majorBidi" w:hAnsiTheme="majorBidi" w:cstheme="majorBidi"/>
          <w:sz w:val="28"/>
          <w:szCs w:val="28"/>
        </w:rPr>
        <w:t xml:space="preserve">HLA gene variants at a specific locus (referred to as a </w:t>
      </w:r>
      <w:r w:rsidRPr="00765DC5">
        <w:rPr>
          <w:rFonts w:asciiTheme="majorBidi" w:hAnsiTheme="majorBidi" w:cstheme="majorBidi"/>
          <w:i/>
          <w:iCs/>
          <w:sz w:val="28"/>
          <w:szCs w:val="28"/>
        </w:rPr>
        <w:t>generic</w:t>
      </w:r>
    </w:p>
    <w:p w:rsidR="001A6388" w:rsidRPr="003D209B" w:rsidRDefault="001A6388" w:rsidP="00E16F0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3D209B">
        <w:rPr>
          <w:rFonts w:asciiTheme="majorBidi" w:hAnsiTheme="majorBidi" w:cstheme="majorBidi"/>
          <w:b/>
          <w:bCs/>
          <w:sz w:val="28"/>
          <w:szCs w:val="28"/>
        </w:rPr>
        <w:t>Table1:</w:t>
      </w:r>
      <w:r w:rsidR="003D20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972F4" w:rsidRPr="003D209B">
        <w:rPr>
          <w:rFonts w:asciiTheme="majorBidi" w:hAnsiTheme="majorBidi" w:cstheme="majorBidi"/>
          <w:b/>
          <w:bCs/>
          <w:sz w:val="28"/>
          <w:szCs w:val="28"/>
        </w:rPr>
        <w:t>Approximate number of HLA antigens and Alleles defined at the six classical transplant loci.</w:t>
      </w:r>
    </w:p>
    <w:p w:rsidR="007972F4" w:rsidRPr="003D209B" w:rsidRDefault="007972F4" w:rsidP="00E16F0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1A6388" w:rsidRPr="001A6388" w:rsidRDefault="001A6388" w:rsidP="00E16F0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5210175" cy="2133600"/>
            <wp:effectExtent l="0" t="0" r="9525" b="0"/>
            <wp:docPr id="1" name="Picture 1" descr="C:\Users\user\Desktop\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F07" w:rsidRDefault="00B93F07" w:rsidP="00765DC5">
      <w:pPr>
        <w:rPr>
          <w:rFonts w:asciiTheme="majorBidi" w:hAnsiTheme="majorBidi" w:cstheme="majorBidi"/>
          <w:sz w:val="28"/>
          <w:szCs w:val="28"/>
        </w:rPr>
      </w:pPr>
    </w:p>
    <w:p w:rsidR="003D209B" w:rsidRDefault="003D209B" w:rsidP="00765DC5">
      <w:pPr>
        <w:rPr>
          <w:rFonts w:asciiTheme="majorBidi" w:hAnsiTheme="majorBidi" w:cstheme="majorBidi"/>
          <w:sz w:val="28"/>
          <w:szCs w:val="28"/>
        </w:rPr>
      </w:pPr>
    </w:p>
    <w:p w:rsidR="003D209B" w:rsidRDefault="003D209B" w:rsidP="00765DC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>
            <wp:extent cx="4886325" cy="2781300"/>
            <wp:effectExtent l="0" t="0" r="9525" b="0"/>
            <wp:docPr id="2" name="Picture 2" descr="C:\Users\user\Desktop\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5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09B" w:rsidRPr="005C3184" w:rsidRDefault="003D209B" w:rsidP="004C14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 xml:space="preserve">Fig1: </w:t>
      </w:r>
      <w:r w:rsidR="004C14BB" w:rsidRPr="004C14BB">
        <w:rPr>
          <w:rFonts w:asciiTheme="majorBidi" w:hAnsiTheme="majorBidi" w:cstheme="majorBidi"/>
          <w:sz w:val="24"/>
          <w:szCs w:val="24"/>
        </w:rPr>
        <w:t>An example of a PCR with sequence-specific primers</w:t>
      </w:r>
      <w:r w:rsidR="004C14BB">
        <w:rPr>
          <w:rFonts w:asciiTheme="majorBidi" w:hAnsiTheme="majorBidi" w:cstheme="majorBidi"/>
          <w:sz w:val="24"/>
          <w:szCs w:val="24"/>
        </w:rPr>
        <w:t xml:space="preserve"> </w:t>
      </w:r>
      <w:r w:rsidR="004C14BB" w:rsidRPr="004C14BB">
        <w:rPr>
          <w:rFonts w:asciiTheme="majorBidi" w:hAnsiTheme="majorBidi" w:cstheme="majorBidi"/>
          <w:sz w:val="24"/>
          <w:szCs w:val="24"/>
        </w:rPr>
        <w:t xml:space="preserve">(PCR-SSP) analysis of the HLA-DQB1 locus. Each lane of this </w:t>
      </w:r>
      <w:proofErr w:type="spellStart"/>
      <w:r w:rsidR="004C14BB" w:rsidRPr="003A2208">
        <w:rPr>
          <w:rFonts w:asciiTheme="majorBidi" w:hAnsiTheme="majorBidi" w:cstheme="majorBidi"/>
          <w:sz w:val="24"/>
          <w:szCs w:val="24"/>
          <w:highlight w:val="yellow"/>
        </w:rPr>
        <w:t>ethidium</w:t>
      </w:r>
      <w:proofErr w:type="spellEnd"/>
      <w:r w:rsidR="004C14BB" w:rsidRPr="003A2208">
        <w:rPr>
          <w:rFonts w:asciiTheme="majorBidi" w:hAnsiTheme="majorBidi" w:cstheme="majorBidi"/>
          <w:sz w:val="24"/>
          <w:szCs w:val="24"/>
          <w:highlight w:val="yellow"/>
        </w:rPr>
        <w:t xml:space="preserve"> bromide stained</w:t>
      </w:r>
      <w:r w:rsidR="004C14BB" w:rsidRPr="004C14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14BB" w:rsidRPr="004C14BB">
        <w:rPr>
          <w:rFonts w:asciiTheme="majorBidi" w:hAnsiTheme="majorBidi" w:cstheme="majorBidi"/>
          <w:sz w:val="24"/>
          <w:szCs w:val="24"/>
        </w:rPr>
        <w:t>agarose</w:t>
      </w:r>
      <w:proofErr w:type="spellEnd"/>
      <w:r w:rsidR="004C14BB" w:rsidRPr="004C14BB">
        <w:rPr>
          <w:rFonts w:asciiTheme="majorBidi" w:hAnsiTheme="majorBidi" w:cstheme="majorBidi"/>
          <w:sz w:val="24"/>
          <w:szCs w:val="24"/>
        </w:rPr>
        <w:t xml:space="preserve"> gel contains the amplification product of</w:t>
      </w:r>
      <w:r w:rsidR="004C14BB">
        <w:rPr>
          <w:rFonts w:asciiTheme="majorBidi" w:hAnsiTheme="majorBidi" w:cstheme="majorBidi"/>
          <w:sz w:val="24"/>
          <w:szCs w:val="24"/>
        </w:rPr>
        <w:t xml:space="preserve"> </w:t>
      </w:r>
      <w:r w:rsidR="004C14BB" w:rsidRPr="004C14BB">
        <w:rPr>
          <w:rFonts w:asciiTheme="majorBidi" w:hAnsiTheme="majorBidi" w:cstheme="majorBidi"/>
          <w:sz w:val="24"/>
          <w:szCs w:val="24"/>
        </w:rPr>
        <w:t xml:space="preserve">an individual PCR reaction. Each reaction contains primers to </w:t>
      </w:r>
      <w:proofErr w:type="spellStart"/>
      <w:r w:rsidR="004C14BB" w:rsidRPr="004C14BB">
        <w:rPr>
          <w:rFonts w:asciiTheme="majorBidi" w:hAnsiTheme="majorBidi" w:cstheme="majorBidi"/>
          <w:sz w:val="24"/>
          <w:szCs w:val="24"/>
        </w:rPr>
        <w:t>aubiquitous</w:t>
      </w:r>
      <w:proofErr w:type="spellEnd"/>
      <w:r w:rsidR="004C14BB" w:rsidRPr="004C14BB">
        <w:rPr>
          <w:rFonts w:asciiTheme="majorBidi" w:hAnsiTheme="majorBidi" w:cstheme="majorBidi"/>
          <w:sz w:val="24"/>
          <w:szCs w:val="24"/>
        </w:rPr>
        <w:t xml:space="preserve"> gene and should demonstrate amplification (</w:t>
      </w:r>
      <w:r w:rsidR="004C14BB" w:rsidRPr="003A2208">
        <w:rPr>
          <w:rFonts w:asciiTheme="majorBidi" w:hAnsiTheme="majorBidi" w:cstheme="majorBidi"/>
          <w:sz w:val="24"/>
          <w:szCs w:val="24"/>
          <w:highlight w:val="yellow"/>
        </w:rPr>
        <w:t>the larger</w:t>
      </w:r>
      <w:r w:rsidR="003A2208" w:rsidRPr="003A2208"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  <w:r w:rsidR="004C14BB" w:rsidRPr="003A2208">
        <w:rPr>
          <w:rFonts w:asciiTheme="majorBidi" w:hAnsiTheme="majorBidi" w:cstheme="majorBidi"/>
          <w:sz w:val="24"/>
          <w:szCs w:val="24"/>
          <w:highlight w:val="yellow"/>
        </w:rPr>
        <w:t>band in each lane</w:t>
      </w:r>
      <w:r w:rsidR="004C14BB" w:rsidRPr="004C14BB">
        <w:rPr>
          <w:rFonts w:asciiTheme="majorBidi" w:hAnsiTheme="majorBidi" w:cstheme="majorBidi"/>
          <w:sz w:val="24"/>
          <w:szCs w:val="24"/>
        </w:rPr>
        <w:t>). This serves as an internal control to document</w:t>
      </w:r>
      <w:r w:rsidR="004C14BB">
        <w:rPr>
          <w:rFonts w:asciiTheme="majorBidi" w:hAnsiTheme="majorBidi" w:cstheme="majorBidi"/>
          <w:sz w:val="24"/>
          <w:szCs w:val="24"/>
        </w:rPr>
        <w:t xml:space="preserve"> </w:t>
      </w:r>
      <w:r w:rsidR="004C14BB" w:rsidRPr="004C14BB">
        <w:rPr>
          <w:rFonts w:asciiTheme="majorBidi" w:hAnsiTheme="majorBidi" w:cstheme="majorBidi"/>
          <w:sz w:val="24"/>
          <w:szCs w:val="24"/>
        </w:rPr>
        <w:t xml:space="preserve">successful amplification in each reaction. </w:t>
      </w:r>
      <w:r w:rsidR="004C14BB" w:rsidRPr="005C3184">
        <w:rPr>
          <w:rFonts w:asciiTheme="majorBidi" w:hAnsiTheme="majorBidi" w:cstheme="majorBidi"/>
          <w:sz w:val="24"/>
          <w:szCs w:val="24"/>
          <w:highlight w:val="yellow"/>
        </w:rPr>
        <w:t>Each reaction also contains primers specific for various HLA-DQB1 alleles</w:t>
      </w:r>
      <w:r w:rsidR="004C14BB" w:rsidRPr="004C14BB">
        <w:rPr>
          <w:rFonts w:asciiTheme="majorBidi" w:hAnsiTheme="majorBidi" w:cstheme="majorBidi"/>
          <w:sz w:val="24"/>
          <w:szCs w:val="24"/>
        </w:rPr>
        <w:t>. An amplification</w:t>
      </w:r>
      <w:r w:rsidR="004C14BB">
        <w:rPr>
          <w:rFonts w:asciiTheme="majorBidi" w:hAnsiTheme="majorBidi" w:cstheme="majorBidi"/>
          <w:sz w:val="24"/>
          <w:szCs w:val="24"/>
        </w:rPr>
        <w:t xml:space="preserve"> </w:t>
      </w:r>
      <w:r w:rsidR="004C14BB" w:rsidRPr="004C14BB">
        <w:rPr>
          <w:rFonts w:asciiTheme="majorBidi" w:hAnsiTheme="majorBidi" w:cstheme="majorBidi"/>
          <w:sz w:val="24"/>
          <w:szCs w:val="24"/>
        </w:rPr>
        <w:t xml:space="preserve">product of small size is seen in several lanes, </w:t>
      </w:r>
      <w:r w:rsidR="004C14BB" w:rsidRPr="005C3184">
        <w:rPr>
          <w:rFonts w:asciiTheme="majorBidi" w:hAnsiTheme="majorBidi" w:cstheme="majorBidi"/>
          <w:color w:val="FF0000"/>
          <w:sz w:val="24"/>
          <w:szCs w:val="24"/>
        </w:rPr>
        <w:t xml:space="preserve">indicating the presence of the target HLA-DQB1 gene for those specific primers. The particular pattern of amplified primers is assessed to determine the HLA- DQB1type of the sample. </w:t>
      </w:r>
      <w:proofErr w:type="gramStart"/>
      <w:r w:rsidR="004C14BB" w:rsidRPr="005C3184">
        <w:rPr>
          <w:rFonts w:asciiTheme="majorBidi" w:hAnsiTheme="majorBidi" w:cstheme="majorBidi"/>
          <w:color w:val="FF0000"/>
          <w:sz w:val="24"/>
          <w:szCs w:val="24"/>
        </w:rPr>
        <w:t>(Color Plate 13).</w:t>
      </w:r>
      <w:proofErr w:type="gramEnd"/>
    </w:p>
    <w:p w:rsidR="006652D0" w:rsidRDefault="006652D0" w:rsidP="004C14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9717D" w:rsidRPr="00646209" w:rsidRDefault="0039717D" w:rsidP="004E2680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6652D0">
        <w:rPr>
          <w:rFonts w:asciiTheme="majorBidi" w:hAnsiTheme="majorBidi" w:cstheme="majorBidi"/>
          <w:i/>
          <w:iCs/>
          <w:sz w:val="28"/>
          <w:szCs w:val="28"/>
          <w:highlight w:val="yellow"/>
        </w:rPr>
        <w:t>amplification</w:t>
      </w:r>
      <w:proofErr w:type="gramEnd"/>
      <w:r w:rsidRPr="006652D0">
        <w:rPr>
          <w:rFonts w:asciiTheme="majorBidi" w:hAnsiTheme="majorBidi" w:cstheme="majorBidi"/>
          <w:sz w:val="28"/>
          <w:szCs w:val="28"/>
          <w:highlight w:val="yellow"/>
        </w:rPr>
        <w:t>). The amplified gene is then subjected to</w:t>
      </w:r>
      <w:r w:rsidR="006652D0" w:rsidRPr="006652D0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6652D0">
        <w:rPr>
          <w:rFonts w:asciiTheme="majorBidi" w:hAnsiTheme="majorBidi" w:cstheme="majorBidi"/>
          <w:sz w:val="28"/>
          <w:szCs w:val="28"/>
          <w:highlight w:val="yellow"/>
        </w:rPr>
        <w:t xml:space="preserve">hybridization with a panel of DNA probes, each specific </w:t>
      </w:r>
      <w:proofErr w:type="spellStart"/>
      <w:r w:rsidRPr="006652D0">
        <w:rPr>
          <w:rFonts w:asciiTheme="majorBidi" w:hAnsiTheme="majorBidi" w:cstheme="majorBidi"/>
          <w:sz w:val="28"/>
          <w:szCs w:val="28"/>
          <w:highlight w:val="yellow"/>
        </w:rPr>
        <w:t>fora</w:t>
      </w:r>
      <w:proofErr w:type="spellEnd"/>
      <w:r w:rsidRPr="006652D0">
        <w:rPr>
          <w:rFonts w:asciiTheme="majorBidi" w:hAnsiTheme="majorBidi" w:cstheme="majorBidi"/>
          <w:sz w:val="28"/>
          <w:szCs w:val="28"/>
          <w:highlight w:val="yellow"/>
        </w:rPr>
        <w:t xml:space="preserve"> unique HLA allele or allele group. Only those probes that</w:t>
      </w:r>
      <w:r w:rsidR="004E2680" w:rsidRPr="006652D0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6652D0">
        <w:rPr>
          <w:rFonts w:asciiTheme="majorBidi" w:hAnsiTheme="majorBidi" w:cstheme="majorBidi"/>
          <w:sz w:val="28"/>
          <w:szCs w:val="28"/>
          <w:highlight w:val="yellow"/>
        </w:rPr>
        <w:t>specifically hybridize to the amplified DNA will be detected</w:t>
      </w:r>
      <w:r w:rsidRPr="00646209">
        <w:rPr>
          <w:rFonts w:asciiTheme="majorBidi" w:hAnsiTheme="majorBidi" w:cstheme="majorBidi"/>
          <w:sz w:val="28"/>
          <w:szCs w:val="28"/>
        </w:rPr>
        <w:t>.</w:t>
      </w:r>
    </w:p>
    <w:p w:rsidR="0039717D" w:rsidRPr="003A2208" w:rsidRDefault="0039717D" w:rsidP="004E2680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  <w:highlight w:val="yellow"/>
        </w:rPr>
      </w:pPr>
      <w:r w:rsidRPr="003A2208">
        <w:rPr>
          <w:rFonts w:asciiTheme="majorBidi" w:hAnsiTheme="majorBidi" w:cstheme="majorBidi"/>
          <w:sz w:val="28"/>
          <w:szCs w:val="28"/>
          <w:highlight w:val="yellow"/>
        </w:rPr>
        <w:t xml:space="preserve">The </w:t>
      </w:r>
      <w:r w:rsidRPr="003A2208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HLA genotype </w:t>
      </w:r>
      <w:r w:rsidRPr="003A2208">
        <w:rPr>
          <w:rFonts w:asciiTheme="majorBidi" w:hAnsiTheme="majorBidi" w:cstheme="majorBidi"/>
          <w:sz w:val="28"/>
          <w:szCs w:val="28"/>
          <w:highlight w:val="yellow"/>
        </w:rPr>
        <w:t>is determined by assessing which</w:t>
      </w:r>
      <w:r w:rsidR="004E2680" w:rsidRPr="003A2208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3A2208">
        <w:rPr>
          <w:rFonts w:asciiTheme="majorBidi" w:hAnsiTheme="majorBidi" w:cstheme="majorBidi"/>
          <w:sz w:val="28"/>
          <w:szCs w:val="28"/>
          <w:highlight w:val="yellow"/>
        </w:rPr>
        <w:t>probes hybridized. A third common method for HLA genotyping</w:t>
      </w:r>
      <w:r w:rsidR="004E2680" w:rsidRPr="003A2208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3A2208">
        <w:rPr>
          <w:rFonts w:asciiTheme="majorBidi" w:hAnsiTheme="majorBidi" w:cstheme="majorBidi"/>
          <w:sz w:val="28"/>
          <w:szCs w:val="28"/>
          <w:highlight w:val="yellow"/>
        </w:rPr>
        <w:t>is sequencing of PCR-amplified HLA genes.</w:t>
      </w:r>
    </w:p>
    <w:p w:rsidR="0039717D" w:rsidRDefault="0039717D" w:rsidP="004E2680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3A2208">
        <w:rPr>
          <w:rFonts w:asciiTheme="majorBidi" w:hAnsiTheme="majorBidi" w:cstheme="majorBidi"/>
          <w:sz w:val="28"/>
          <w:szCs w:val="28"/>
          <w:highlight w:val="yellow"/>
        </w:rPr>
        <w:t>HLA genotyping overcomes the limitation of CDC</w:t>
      </w:r>
      <w:r w:rsidR="003A2208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3A2208">
        <w:rPr>
          <w:rFonts w:asciiTheme="majorBidi" w:hAnsiTheme="majorBidi" w:cstheme="majorBidi"/>
          <w:sz w:val="28"/>
          <w:szCs w:val="28"/>
          <w:highlight w:val="yellow"/>
        </w:rPr>
        <w:t>based</w:t>
      </w:r>
      <w:r w:rsidR="004E2680" w:rsidRPr="003A2208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3A2208">
        <w:rPr>
          <w:rFonts w:asciiTheme="majorBidi" w:hAnsiTheme="majorBidi" w:cstheme="majorBidi"/>
          <w:sz w:val="28"/>
          <w:szCs w:val="28"/>
          <w:highlight w:val="yellow"/>
        </w:rPr>
        <w:t xml:space="preserve">HLA </w:t>
      </w:r>
      <w:proofErr w:type="spellStart"/>
      <w:r w:rsidRPr="003A2208">
        <w:rPr>
          <w:rFonts w:asciiTheme="majorBidi" w:hAnsiTheme="majorBidi" w:cstheme="majorBidi"/>
          <w:sz w:val="28"/>
          <w:szCs w:val="28"/>
          <w:highlight w:val="yellow"/>
        </w:rPr>
        <w:t>phenotyping</w:t>
      </w:r>
      <w:proofErr w:type="spellEnd"/>
      <w:r w:rsidRPr="003A2208">
        <w:rPr>
          <w:rFonts w:asciiTheme="majorBidi" w:hAnsiTheme="majorBidi" w:cstheme="majorBidi"/>
          <w:sz w:val="28"/>
          <w:szCs w:val="28"/>
          <w:highlight w:val="yellow"/>
        </w:rPr>
        <w:t>. Cells do not need to be viable in</w:t>
      </w:r>
      <w:r w:rsidR="004E2680" w:rsidRPr="003A2208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3A2208">
        <w:rPr>
          <w:rFonts w:asciiTheme="majorBidi" w:hAnsiTheme="majorBidi" w:cstheme="majorBidi"/>
          <w:sz w:val="28"/>
          <w:szCs w:val="28"/>
          <w:highlight w:val="yellow"/>
        </w:rPr>
        <w:t>order to obtain DNA for HLA genotyping. Typing reagents</w:t>
      </w:r>
      <w:r w:rsidR="004E2680" w:rsidRPr="003A2208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3A2208">
        <w:rPr>
          <w:rFonts w:asciiTheme="majorBidi" w:hAnsiTheme="majorBidi" w:cstheme="majorBidi"/>
          <w:sz w:val="28"/>
          <w:szCs w:val="28"/>
          <w:highlight w:val="yellow"/>
        </w:rPr>
        <w:t>are chemically synthesized; thus, there is no reliance on</w:t>
      </w:r>
      <w:r w:rsidR="004E2680" w:rsidRPr="003A2208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3A2208">
        <w:rPr>
          <w:rFonts w:asciiTheme="majorBidi" w:hAnsiTheme="majorBidi" w:cstheme="majorBidi"/>
          <w:sz w:val="28"/>
          <w:szCs w:val="28"/>
          <w:highlight w:val="yellow"/>
        </w:rPr>
        <w:t>human donors of antisera. HLA genotyping can provide</w:t>
      </w:r>
      <w:r w:rsidR="004E2680" w:rsidRPr="003A2208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3A2208">
        <w:rPr>
          <w:rFonts w:asciiTheme="majorBidi" w:hAnsiTheme="majorBidi" w:cstheme="majorBidi"/>
          <w:sz w:val="28"/>
          <w:szCs w:val="28"/>
          <w:highlight w:val="yellow"/>
        </w:rPr>
        <w:t>varying levels of resolution that can be tailored to the specific</w:t>
      </w:r>
      <w:r w:rsidR="004E2680" w:rsidRPr="003A2208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3A2208">
        <w:rPr>
          <w:rFonts w:asciiTheme="majorBidi" w:hAnsiTheme="majorBidi" w:cstheme="majorBidi"/>
          <w:sz w:val="28"/>
          <w:szCs w:val="28"/>
          <w:highlight w:val="yellow"/>
        </w:rPr>
        <w:t>clinical need. DNA-based typing can provide results</w:t>
      </w:r>
      <w:r w:rsidR="004E2680" w:rsidRPr="003A2208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3A2208">
        <w:rPr>
          <w:rFonts w:asciiTheme="majorBidi" w:hAnsiTheme="majorBidi" w:cstheme="majorBidi"/>
          <w:sz w:val="28"/>
          <w:szCs w:val="28"/>
          <w:highlight w:val="yellow"/>
        </w:rPr>
        <w:t>at a level of resolution comparable to CDC-based typing</w:t>
      </w:r>
      <w:r w:rsidR="004E2680" w:rsidRPr="003A2208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3A2208">
        <w:rPr>
          <w:rFonts w:asciiTheme="majorBidi" w:hAnsiTheme="majorBidi" w:cstheme="majorBidi"/>
          <w:sz w:val="28"/>
          <w:szCs w:val="28"/>
          <w:highlight w:val="yellow"/>
        </w:rPr>
        <w:t>(antigen equivalent) or can provide allele-level results</w:t>
      </w:r>
      <w:r w:rsidR="004E2680" w:rsidRPr="003A2208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3A2208">
        <w:rPr>
          <w:rFonts w:asciiTheme="majorBidi" w:hAnsiTheme="majorBidi" w:cstheme="majorBidi"/>
          <w:sz w:val="28"/>
          <w:szCs w:val="28"/>
          <w:highlight w:val="yellow"/>
        </w:rPr>
        <w:t>(required for matching of unrelated stem cell donors and</w:t>
      </w:r>
      <w:r w:rsidR="004E2680" w:rsidRPr="003A2208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3A2208">
        <w:rPr>
          <w:rFonts w:asciiTheme="majorBidi" w:hAnsiTheme="majorBidi" w:cstheme="majorBidi"/>
          <w:sz w:val="28"/>
          <w:szCs w:val="28"/>
          <w:highlight w:val="yellow"/>
        </w:rPr>
        <w:t>recipients). Allele-level HLA typing has demonstrated the</w:t>
      </w:r>
      <w:r w:rsidR="004E2680" w:rsidRPr="003A2208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3A2208">
        <w:rPr>
          <w:rFonts w:asciiTheme="majorBidi" w:hAnsiTheme="majorBidi" w:cstheme="majorBidi"/>
          <w:sz w:val="28"/>
          <w:szCs w:val="28"/>
          <w:highlight w:val="yellow"/>
        </w:rPr>
        <w:t>incredible extent of polymorphism within the HLA loci</w:t>
      </w:r>
      <w:r w:rsidR="004E2680" w:rsidRPr="003A2208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3A2208">
        <w:rPr>
          <w:rFonts w:asciiTheme="majorBidi" w:hAnsiTheme="majorBidi" w:cstheme="majorBidi"/>
          <w:sz w:val="28"/>
          <w:szCs w:val="28"/>
          <w:highlight w:val="yellow"/>
        </w:rPr>
        <w:t>(Table 1).</w:t>
      </w:r>
    </w:p>
    <w:p w:rsidR="003A2208" w:rsidRPr="00646209" w:rsidRDefault="003A2208" w:rsidP="004E2680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39717D" w:rsidRPr="00646209" w:rsidRDefault="0039717D" w:rsidP="00646209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46209">
        <w:rPr>
          <w:rFonts w:asciiTheme="majorBidi" w:hAnsiTheme="majorBidi" w:cstheme="majorBidi"/>
          <w:b/>
          <w:bCs/>
          <w:sz w:val="28"/>
          <w:szCs w:val="28"/>
        </w:rPr>
        <w:lastRenderedPageBreak/>
        <w:t>HLA Antibody Screening and Identification</w:t>
      </w:r>
    </w:p>
    <w:p w:rsidR="0039717D" w:rsidRPr="005C3184" w:rsidRDefault="0039717D" w:rsidP="004E2680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5C3184">
        <w:rPr>
          <w:rFonts w:asciiTheme="majorBidi" w:hAnsiTheme="majorBidi" w:cstheme="majorBidi"/>
          <w:color w:val="FF0000"/>
          <w:sz w:val="28"/>
          <w:szCs w:val="28"/>
        </w:rPr>
        <w:t>Antibodies to HLA antigens can be detected in candidates</w:t>
      </w:r>
      <w:r w:rsidR="004E2680" w:rsidRPr="005C3184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5C3184">
        <w:rPr>
          <w:rFonts w:asciiTheme="majorBidi" w:hAnsiTheme="majorBidi" w:cstheme="majorBidi"/>
          <w:color w:val="FF0000"/>
          <w:sz w:val="28"/>
          <w:szCs w:val="28"/>
        </w:rPr>
        <w:t>and recipients of solid-organ transplants. These antibodies</w:t>
      </w:r>
      <w:r w:rsidR="004E2680" w:rsidRPr="005C3184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5C3184">
        <w:rPr>
          <w:rFonts w:asciiTheme="majorBidi" w:hAnsiTheme="majorBidi" w:cstheme="majorBidi"/>
          <w:color w:val="FF0000"/>
          <w:sz w:val="28"/>
          <w:szCs w:val="28"/>
        </w:rPr>
        <w:t>develop in response to multiple blood transfusions; to prior</w:t>
      </w:r>
      <w:r w:rsidR="005C3184" w:rsidRPr="005C3184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5C3184">
        <w:rPr>
          <w:rFonts w:asciiTheme="majorBidi" w:hAnsiTheme="majorBidi" w:cstheme="majorBidi"/>
          <w:color w:val="FF0000"/>
          <w:sz w:val="28"/>
          <w:szCs w:val="28"/>
        </w:rPr>
        <w:t>HLA-mismatched transplants; and, in women, to multiple</w:t>
      </w:r>
    </w:p>
    <w:p w:rsidR="0039717D" w:rsidRPr="005C3184" w:rsidRDefault="0039717D" w:rsidP="004E2680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proofErr w:type="gramStart"/>
      <w:r w:rsidRPr="005C3184">
        <w:rPr>
          <w:rFonts w:asciiTheme="majorBidi" w:hAnsiTheme="majorBidi" w:cstheme="majorBidi"/>
          <w:color w:val="FF0000"/>
          <w:sz w:val="28"/>
          <w:szCs w:val="28"/>
        </w:rPr>
        <w:t>pregnancies</w:t>
      </w:r>
      <w:proofErr w:type="gramEnd"/>
      <w:r w:rsidRPr="005C3184">
        <w:rPr>
          <w:rFonts w:asciiTheme="majorBidi" w:hAnsiTheme="majorBidi" w:cstheme="majorBidi"/>
          <w:color w:val="FF0000"/>
          <w:sz w:val="28"/>
          <w:szCs w:val="28"/>
        </w:rPr>
        <w:t>. Because of the potential adverse impact HLA</w:t>
      </w:r>
      <w:r w:rsidR="005C3184" w:rsidRPr="005C3184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5C3184">
        <w:rPr>
          <w:rFonts w:asciiTheme="majorBidi" w:hAnsiTheme="majorBidi" w:cstheme="majorBidi"/>
          <w:color w:val="FF0000"/>
          <w:sz w:val="28"/>
          <w:szCs w:val="28"/>
        </w:rPr>
        <w:t>antibodies can have on graft survival, patients awaiting solid</w:t>
      </w:r>
      <w:r w:rsidR="004E2680" w:rsidRPr="005C3184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5C3184">
        <w:rPr>
          <w:rFonts w:asciiTheme="majorBidi" w:hAnsiTheme="majorBidi" w:cstheme="majorBidi"/>
          <w:color w:val="FF0000"/>
          <w:sz w:val="28"/>
          <w:szCs w:val="28"/>
        </w:rPr>
        <w:t>organ</w:t>
      </w:r>
      <w:r w:rsidR="004E2680" w:rsidRPr="005C3184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5C3184">
        <w:rPr>
          <w:rFonts w:asciiTheme="majorBidi" w:hAnsiTheme="majorBidi" w:cstheme="majorBidi"/>
          <w:color w:val="FF0000"/>
          <w:sz w:val="28"/>
          <w:szCs w:val="28"/>
        </w:rPr>
        <w:t>transplantation are screened periodically for their</w:t>
      </w:r>
      <w:r w:rsidR="004E2680" w:rsidRPr="005C3184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5C3184">
        <w:rPr>
          <w:rFonts w:asciiTheme="majorBidi" w:hAnsiTheme="majorBidi" w:cstheme="majorBidi"/>
          <w:color w:val="FF0000"/>
          <w:sz w:val="28"/>
          <w:szCs w:val="28"/>
        </w:rPr>
        <w:t>presence. If detected, the specificity (which HLA proteins</w:t>
      </w:r>
    </w:p>
    <w:p w:rsidR="0039717D" w:rsidRPr="00646209" w:rsidRDefault="0039717D" w:rsidP="004E2680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5C3184">
        <w:rPr>
          <w:rFonts w:asciiTheme="majorBidi" w:hAnsiTheme="majorBidi" w:cstheme="majorBidi"/>
          <w:color w:val="FF0000"/>
          <w:sz w:val="28"/>
          <w:szCs w:val="28"/>
        </w:rPr>
        <w:t>they</w:t>
      </w:r>
      <w:proofErr w:type="gramEnd"/>
      <w:r w:rsidRPr="005C3184">
        <w:rPr>
          <w:rFonts w:asciiTheme="majorBidi" w:hAnsiTheme="majorBidi" w:cstheme="majorBidi"/>
          <w:color w:val="FF0000"/>
          <w:sz w:val="28"/>
          <w:szCs w:val="28"/>
        </w:rPr>
        <w:t xml:space="preserve"> bind) of the antibodies is then determined so that</w:t>
      </w:r>
      <w:r w:rsidR="004E2680" w:rsidRPr="005C3184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5C3184">
        <w:rPr>
          <w:rFonts w:asciiTheme="majorBidi" w:hAnsiTheme="majorBidi" w:cstheme="majorBidi"/>
          <w:color w:val="FF0000"/>
          <w:sz w:val="28"/>
          <w:szCs w:val="28"/>
        </w:rPr>
        <w:t xml:space="preserve">donors possessing those HLA antigens can be eliminated from consideration for donation to that patient. </w:t>
      </w:r>
      <w:r w:rsidRPr="00646209">
        <w:rPr>
          <w:rFonts w:asciiTheme="majorBidi" w:hAnsiTheme="majorBidi" w:cstheme="majorBidi"/>
          <w:sz w:val="28"/>
          <w:szCs w:val="28"/>
        </w:rPr>
        <w:t>Patients are</w:t>
      </w:r>
      <w:r w:rsidR="004E2680">
        <w:rPr>
          <w:rFonts w:asciiTheme="majorBidi" w:hAnsiTheme="majorBidi" w:cstheme="majorBidi"/>
          <w:sz w:val="28"/>
          <w:szCs w:val="28"/>
        </w:rPr>
        <w:t xml:space="preserve"> </w:t>
      </w:r>
      <w:r w:rsidRPr="00646209">
        <w:rPr>
          <w:rFonts w:asciiTheme="majorBidi" w:hAnsiTheme="majorBidi" w:cstheme="majorBidi"/>
          <w:sz w:val="28"/>
          <w:szCs w:val="28"/>
        </w:rPr>
        <w:t>tested monthly for the presence of HLA antibodies while</w:t>
      </w:r>
      <w:r w:rsidR="004E2680">
        <w:rPr>
          <w:rFonts w:asciiTheme="majorBidi" w:hAnsiTheme="majorBidi" w:cstheme="majorBidi"/>
          <w:sz w:val="28"/>
          <w:szCs w:val="28"/>
        </w:rPr>
        <w:t xml:space="preserve"> </w:t>
      </w:r>
      <w:r w:rsidRPr="00646209">
        <w:rPr>
          <w:rFonts w:asciiTheme="majorBidi" w:hAnsiTheme="majorBidi" w:cstheme="majorBidi"/>
          <w:sz w:val="28"/>
          <w:szCs w:val="28"/>
        </w:rPr>
        <w:t>they are waiting for an organ offer. Antibody screening and</w:t>
      </w:r>
      <w:r w:rsidR="004E2680">
        <w:rPr>
          <w:rFonts w:asciiTheme="majorBidi" w:hAnsiTheme="majorBidi" w:cstheme="majorBidi"/>
          <w:sz w:val="28"/>
          <w:szCs w:val="28"/>
        </w:rPr>
        <w:t xml:space="preserve"> </w:t>
      </w:r>
      <w:r w:rsidRPr="00646209">
        <w:rPr>
          <w:rFonts w:asciiTheme="majorBidi" w:hAnsiTheme="majorBidi" w:cstheme="majorBidi"/>
          <w:sz w:val="28"/>
          <w:szCs w:val="28"/>
        </w:rPr>
        <w:t>identification is also performed post-transplantation to aid</w:t>
      </w:r>
      <w:r w:rsidR="004E2680">
        <w:rPr>
          <w:rFonts w:asciiTheme="majorBidi" w:hAnsiTheme="majorBidi" w:cstheme="majorBidi"/>
          <w:sz w:val="28"/>
          <w:szCs w:val="28"/>
        </w:rPr>
        <w:t xml:space="preserve"> </w:t>
      </w:r>
      <w:r w:rsidRPr="00646209">
        <w:rPr>
          <w:rFonts w:asciiTheme="majorBidi" w:hAnsiTheme="majorBidi" w:cstheme="majorBidi"/>
          <w:sz w:val="28"/>
          <w:szCs w:val="28"/>
        </w:rPr>
        <w:t xml:space="preserve">in the </w:t>
      </w:r>
      <w:r w:rsidRPr="005C3184">
        <w:rPr>
          <w:rFonts w:asciiTheme="majorBidi" w:hAnsiTheme="majorBidi" w:cstheme="majorBidi"/>
          <w:sz w:val="28"/>
          <w:szCs w:val="28"/>
          <w:highlight w:val="yellow"/>
        </w:rPr>
        <w:t>diagnosis of antibody-mediated rejection and to assess</w:t>
      </w:r>
      <w:r w:rsidR="004E2680" w:rsidRPr="005C3184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5C3184">
        <w:rPr>
          <w:rFonts w:asciiTheme="majorBidi" w:hAnsiTheme="majorBidi" w:cstheme="majorBidi"/>
          <w:sz w:val="28"/>
          <w:szCs w:val="28"/>
          <w:highlight w:val="yellow"/>
        </w:rPr>
        <w:t>the effectiveness of therapy for antibody-mediated rejection.</w:t>
      </w:r>
    </w:p>
    <w:p w:rsidR="0039717D" w:rsidRPr="00646209" w:rsidRDefault="0039717D" w:rsidP="004E2680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3B7271">
        <w:rPr>
          <w:rFonts w:asciiTheme="majorBidi" w:hAnsiTheme="majorBidi" w:cstheme="majorBidi"/>
          <w:sz w:val="28"/>
          <w:szCs w:val="28"/>
          <w:highlight w:val="yellow"/>
        </w:rPr>
        <w:t>The methods used for antibody detection and identification</w:t>
      </w:r>
      <w:r w:rsidR="004E2680" w:rsidRPr="003B7271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3B7271">
        <w:rPr>
          <w:rFonts w:asciiTheme="majorBidi" w:hAnsiTheme="majorBidi" w:cstheme="majorBidi"/>
          <w:sz w:val="28"/>
          <w:szCs w:val="28"/>
          <w:highlight w:val="yellow"/>
        </w:rPr>
        <w:t>have changed significantly in recent years. The CDC</w:t>
      </w:r>
      <w:r w:rsidR="003B7271" w:rsidRPr="003B7271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3B7271">
        <w:rPr>
          <w:rFonts w:asciiTheme="majorBidi" w:hAnsiTheme="majorBidi" w:cstheme="majorBidi"/>
          <w:sz w:val="28"/>
          <w:szCs w:val="28"/>
          <w:highlight w:val="yellow"/>
        </w:rPr>
        <w:t>method used for HLA typing is also used for HLA antibody</w:t>
      </w:r>
      <w:r w:rsidR="004E2680" w:rsidRPr="003B7271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3B7271">
        <w:rPr>
          <w:rFonts w:asciiTheme="majorBidi" w:hAnsiTheme="majorBidi" w:cstheme="majorBidi"/>
          <w:sz w:val="28"/>
          <w:szCs w:val="28"/>
          <w:highlight w:val="yellow"/>
        </w:rPr>
        <w:t>detection and identification.</w:t>
      </w:r>
      <w:r w:rsidRPr="00646209">
        <w:rPr>
          <w:rFonts w:asciiTheme="majorBidi" w:hAnsiTheme="majorBidi" w:cstheme="majorBidi"/>
          <w:sz w:val="28"/>
          <w:szCs w:val="28"/>
        </w:rPr>
        <w:t xml:space="preserve"> In this case, panels of lymphocytes</w:t>
      </w:r>
    </w:p>
    <w:p w:rsidR="0039717D" w:rsidRPr="00646209" w:rsidRDefault="0039717D" w:rsidP="004E2680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646209">
        <w:rPr>
          <w:rFonts w:asciiTheme="majorBidi" w:hAnsiTheme="majorBidi" w:cstheme="majorBidi"/>
          <w:sz w:val="28"/>
          <w:szCs w:val="28"/>
        </w:rPr>
        <w:t>with</w:t>
      </w:r>
      <w:proofErr w:type="gramEnd"/>
      <w:r w:rsidRPr="00646209">
        <w:rPr>
          <w:rFonts w:asciiTheme="majorBidi" w:hAnsiTheme="majorBidi" w:cstheme="majorBidi"/>
          <w:sz w:val="28"/>
          <w:szCs w:val="28"/>
        </w:rPr>
        <w:t xml:space="preserve"> defined HLA phenotypes are incubated with the</w:t>
      </w:r>
      <w:r w:rsidR="004E2680">
        <w:rPr>
          <w:rFonts w:asciiTheme="majorBidi" w:hAnsiTheme="majorBidi" w:cstheme="majorBidi"/>
          <w:sz w:val="28"/>
          <w:szCs w:val="28"/>
        </w:rPr>
        <w:t xml:space="preserve"> </w:t>
      </w:r>
      <w:r w:rsidRPr="00646209">
        <w:rPr>
          <w:rFonts w:asciiTheme="majorBidi" w:hAnsiTheme="majorBidi" w:cstheme="majorBidi"/>
          <w:sz w:val="28"/>
          <w:szCs w:val="28"/>
        </w:rPr>
        <w:t>patient’s serum. If the serum contains HLA antibodies, they</w:t>
      </w:r>
      <w:r w:rsidR="004E2680">
        <w:rPr>
          <w:rFonts w:asciiTheme="majorBidi" w:hAnsiTheme="majorBidi" w:cstheme="majorBidi"/>
          <w:sz w:val="28"/>
          <w:szCs w:val="28"/>
        </w:rPr>
        <w:t xml:space="preserve"> </w:t>
      </w:r>
      <w:r w:rsidRPr="00646209">
        <w:rPr>
          <w:rFonts w:asciiTheme="majorBidi" w:hAnsiTheme="majorBidi" w:cstheme="majorBidi"/>
          <w:sz w:val="28"/>
          <w:szCs w:val="28"/>
        </w:rPr>
        <w:t>will bind to those lymphocytes in the panel that express the</w:t>
      </w:r>
      <w:r w:rsidR="004E2680">
        <w:rPr>
          <w:rFonts w:asciiTheme="majorBidi" w:hAnsiTheme="majorBidi" w:cstheme="majorBidi"/>
          <w:sz w:val="28"/>
          <w:szCs w:val="28"/>
        </w:rPr>
        <w:t xml:space="preserve"> </w:t>
      </w:r>
      <w:r w:rsidRPr="00646209">
        <w:rPr>
          <w:rFonts w:asciiTheme="majorBidi" w:hAnsiTheme="majorBidi" w:cstheme="majorBidi"/>
          <w:sz w:val="28"/>
          <w:szCs w:val="28"/>
        </w:rPr>
        <w:t>cognate HLA antigen. Binding is detected by addition of</w:t>
      </w:r>
      <w:r w:rsidR="004E2680">
        <w:rPr>
          <w:rFonts w:asciiTheme="majorBidi" w:hAnsiTheme="majorBidi" w:cstheme="majorBidi"/>
          <w:sz w:val="28"/>
          <w:szCs w:val="28"/>
        </w:rPr>
        <w:t xml:space="preserve"> </w:t>
      </w:r>
      <w:r w:rsidRPr="00646209">
        <w:rPr>
          <w:rFonts w:asciiTheme="majorBidi" w:hAnsiTheme="majorBidi" w:cstheme="majorBidi"/>
          <w:sz w:val="28"/>
          <w:szCs w:val="28"/>
        </w:rPr>
        <w:t xml:space="preserve">complement and a vital dye to assess cell death </w:t>
      </w:r>
      <w:proofErr w:type="spellStart"/>
      <w:r w:rsidRPr="00646209">
        <w:rPr>
          <w:rFonts w:asciiTheme="majorBidi" w:hAnsiTheme="majorBidi" w:cstheme="majorBidi"/>
          <w:sz w:val="28"/>
          <w:szCs w:val="28"/>
        </w:rPr>
        <w:t>microscopically.In</w:t>
      </w:r>
      <w:proofErr w:type="spellEnd"/>
      <w:r w:rsidRPr="00646209">
        <w:rPr>
          <w:rFonts w:asciiTheme="majorBidi" w:hAnsiTheme="majorBidi" w:cstheme="majorBidi"/>
          <w:sz w:val="28"/>
          <w:szCs w:val="28"/>
        </w:rPr>
        <w:t xml:space="preserve"> some scenarios, the level of antibody in a </w:t>
      </w:r>
      <w:proofErr w:type="spellStart"/>
      <w:r w:rsidRPr="00646209">
        <w:rPr>
          <w:rFonts w:asciiTheme="majorBidi" w:hAnsiTheme="majorBidi" w:cstheme="majorBidi"/>
          <w:sz w:val="28"/>
          <w:szCs w:val="28"/>
        </w:rPr>
        <w:t>patien</w:t>
      </w:r>
      <w:proofErr w:type="spellEnd"/>
      <w:r w:rsidR="003B727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646209">
        <w:rPr>
          <w:rFonts w:asciiTheme="majorBidi" w:hAnsiTheme="majorBidi" w:cstheme="majorBidi"/>
          <w:sz w:val="28"/>
          <w:szCs w:val="28"/>
        </w:rPr>
        <w:t>tserum</w:t>
      </w:r>
      <w:proofErr w:type="spellEnd"/>
      <w:r w:rsidRPr="00646209">
        <w:rPr>
          <w:rFonts w:asciiTheme="majorBidi" w:hAnsiTheme="majorBidi" w:cstheme="majorBidi"/>
          <w:sz w:val="28"/>
          <w:szCs w:val="28"/>
        </w:rPr>
        <w:t xml:space="preserve"> may be below a level detectable by the CDC assay.</w:t>
      </w:r>
    </w:p>
    <w:p w:rsidR="0039717D" w:rsidRPr="0050016E" w:rsidRDefault="0039717D" w:rsidP="00726983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70C0"/>
          <w:sz w:val="28"/>
          <w:szCs w:val="28"/>
        </w:rPr>
      </w:pPr>
      <w:r w:rsidRPr="0050016E">
        <w:rPr>
          <w:rFonts w:asciiTheme="majorBidi" w:hAnsiTheme="majorBidi" w:cstheme="majorBidi"/>
          <w:color w:val="0070C0"/>
          <w:sz w:val="28"/>
          <w:szCs w:val="28"/>
        </w:rPr>
        <w:t>In these cases, antihuman globulin (AHG) may be added to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the CDC assay to increase the test’s sensitivity. The AHGCDC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assay can detect lower levels of antibody as well as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proofErr w:type="spellStart"/>
      <w:r w:rsidRPr="0050016E">
        <w:rPr>
          <w:rFonts w:asciiTheme="majorBidi" w:hAnsiTheme="majorBidi" w:cstheme="majorBidi"/>
          <w:color w:val="0070C0"/>
          <w:sz w:val="28"/>
          <w:szCs w:val="28"/>
        </w:rPr>
        <w:t>isotypes</w:t>
      </w:r>
      <w:proofErr w:type="spellEnd"/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of bound antibody that don’t activate complement</w:t>
      </w:r>
    </w:p>
    <w:p w:rsidR="0039717D" w:rsidRPr="0050016E" w:rsidRDefault="0039717D" w:rsidP="00726983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70C0"/>
          <w:sz w:val="28"/>
          <w:szCs w:val="28"/>
        </w:rPr>
      </w:pPr>
      <w:proofErr w:type="gramStart"/>
      <w:r w:rsidRPr="0050016E">
        <w:rPr>
          <w:rFonts w:asciiTheme="majorBidi" w:hAnsiTheme="majorBidi" w:cstheme="majorBidi"/>
          <w:color w:val="0070C0"/>
          <w:sz w:val="28"/>
          <w:szCs w:val="28"/>
        </w:rPr>
        <w:t>and</w:t>
      </w:r>
      <w:proofErr w:type="gramEnd"/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thus wouldn’t normally be detected in the standard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CDC assay. The proportion of lymphocytes in the panel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(usually 30 to 60 unique lymphocyte preparations are</w:t>
      </w:r>
    </w:p>
    <w:p w:rsidR="0039717D" w:rsidRPr="0050016E" w:rsidRDefault="0039717D" w:rsidP="00726983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70C0"/>
          <w:sz w:val="28"/>
          <w:szCs w:val="28"/>
        </w:rPr>
      </w:pPr>
      <w:proofErr w:type="gramStart"/>
      <w:r w:rsidRPr="0050016E">
        <w:rPr>
          <w:rFonts w:asciiTheme="majorBidi" w:hAnsiTheme="majorBidi" w:cstheme="majorBidi"/>
          <w:color w:val="0070C0"/>
          <w:sz w:val="28"/>
          <w:szCs w:val="28"/>
        </w:rPr>
        <w:t>included</w:t>
      </w:r>
      <w:proofErr w:type="gramEnd"/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in the panel) that are killed by the patient’s serum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is referred to as the </w:t>
      </w:r>
      <w:r w:rsidRPr="0050016E">
        <w:rPr>
          <w:rFonts w:asciiTheme="majorBidi" w:hAnsiTheme="majorBidi" w:cstheme="majorBidi"/>
          <w:i/>
          <w:iCs/>
          <w:color w:val="0070C0"/>
          <w:sz w:val="28"/>
          <w:szCs w:val="28"/>
        </w:rPr>
        <w:t xml:space="preserve">percent panel reactive antibody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(%PRA).In addition, the specificity of the antibodies can be </w:t>
      </w:r>
      <w:proofErr w:type="spellStart"/>
      <w:r w:rsidRPr="0050016E">
        <w:rPr>
          <w:rFonts w:asciiTheme="majorBidi" w:hAnsiTheme="majorBidi" w:cstheme="majorBidi"/>
          <w:color w:val="0070C0"/>
          <w:sz w:val="28"/>
          <w:szCs w:val="28"/>
        </w:rPr>
        <w:t>determinedby</w:t>
      </w:r>
      <w:proofErr w:type="spellEnd"/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evaluating the phenotype of the panel cells.</w:t>
      </w:r>
    </w:p>
    <w:p w:rsidR="0039717D" w:rsidRPr="0050016E" w:rsidRDefault="0039717D" w:rsidP="00726983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70C0"/>
          <w:sz w:val="28"/>
          <w:szCs w:val="28"/>
        </w:rPr>
      </w:pPr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Enzyme-linked </w:t>
      </w:r>
      <w:proofErr w:type="spellStart"/>
      <w:r w:rsidRPr="0050016E">
        <w:rPr>
          <w:rFonts w:asciiTheme="majorBidi" w:hAnsiTheme="majorBidi" w:cstheme="majorBidi"/>
          <w:color w:val="0070C0"/>
          <w:sz w:val="28"/>
          <w:szCs w:val="28"/>
        </w:rPr>
        <w:t>immunosorbent</w:t>
      </w:r>
      <w:proofErr w:type="spellEnd"/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assay (ELISA) has been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developed in recent years as a substitute for CDC-based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HLA antibody testing. ELISA assays utilize purified</w:t>
      </w:r>
    </w:p>
    <w:p w:rsidR="0039717D" w:rsidRPr="0050016E" w:rsidRDefault="0039717D" w:rsidP="00726983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70C0"/>
          <w:sz w:val="28"/>
          <w:szCs w:val="28"/>
        </w:rPr>
      </w:pPr>
      <w:proofErr w:type="gramStart"/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HLA antigens bound to the wells of </w:t>
      </w:r>
      <w:proofErr w:type="spellStart"/>
      <w:r w:rsidRPr="0050016E">
        <w:rPr>
          <w:rFonts w:asciiTheme="majorBidi" w:hAnsiTheme="majorBidi" w:cstheme="majorBidi"/>
          <w:color w:val="0070C0"/>
          <w:sz w:val="28"/>
          <w:szCs w:val="28"/>
        </w:rPr>
        <w:t>microtiter</w:t>
      </w:r>
      <w:proofErr w:type="spellEnd"/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proofErr w:type="spellStart"/>
      <w:r w:rsidRPr="0050016E">
        <w:rPr>
          <w:rFonts w:asciiTheme="majorBidi" w:hAnsiTheme="majorBidi" w:cstheme="majorBidi"/>
          <w:color w:val="0070C0"/>
          <w:sz w:val="28"/>
          <w:szCs w:val="28"/>
        </w:rPr>
        <w:t>plates.Patient</w:t>
      </w:r>
      <w:proofErr w:type="spellEnd"/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serum is</w:t>
      </w:r>
      <w:proofErr w:type="gramEnd"/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added to the wells of the plate, and if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HLA-specific antibody is present, it will bind. Bound</w:t>
      </w:r>
    </w:p>
    <w:p w:rsidR="0039717D" w:rsidRPr="0050016E" w:rsidRDefault="0039717D" w:rsidP="00726983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70C0"/>
          <w:sz w:val="28"/>
          <w:szCs w:val="28"/>
        </w:rPr>
      </w:pPr>
      <w:proofErr w:type="gramStart"/>
      <w:r w:rsidRPr="0050016E">
        <w:rPr>
          <w:rFonts w:asciiTheme="majorBidi" w:hAnsiTheme="majorBidi" w:cstheme="majorBidi"/>
          <w:color w:val="0070C0"/>
          <w:sz w:val="28"/>
          <w:szCs w:val="28"/>
        </w:rPr>
        <w:lastRenderedPageBreak/>
        <w:t>antibody</w:t>
      </w:r>
      <w:proofErr w:type="gramEnd"/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is detected by addition of an enzyme-labeled anti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immunoglobulin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reagent. Addition of substrate results in a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color change in the wells that have bound antibody. The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wells of the ELISA plate may contain a pool of HLA antigens,</w:t>
      </w:r>
    </w:p>
    <w:p w:rsidR="0039717D" w:rsidRPr="0050016E" w:rsidRDefault="0039717D" w:rsidP="00726983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70C0"/>
          <w:sz w:val="28"/>
          <w:szCs w:val="28"/>
        </w:rPr>
      </w:pPr>
      <w:proofErr w:type="gramStart"/>
      <w:r w:rsidRPr="0050016E">
        <w:rPr>
          <w:rFonts w:asciiTheme="majorBidi" w:hAnsiTheme="majorBidi" w:cstheme="majorBidi"/>
          <w:color w:val="0070C0"/>
          <w:sz w:val="28"/>
          <w:szCs w:val="28"/>
        </w:rPr>
        <w:t>thus</w:t>
      </w:r>
      <w:proofErr w:type="gramEnd"/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serving as a qualitative screen for the presence of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HLA antibody in a serum. Alternatively, each well may contain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HLA antigens representing a single donor and thus can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be used in a fashion analogous to a CDC-based </w:t>
      </w:r>
      <w:proofErr w:type="spellStart"/>
      <w:r w:rsidRPr="0050016E">
        <w:rPr>
          <w:rFonts w:asciiTheme="majorBidi" w:hAnsiTheme="majorBidi" w:cstheme="majorBidi"/>
          <w:color w:val="0070C0"/>
          <w:sz w:val="28"/>
          <w:szCs w:val="28"/>
        </w:rPr>
        <w:t>analysis</w:t>
      </w:r>
      <w:proofErr w:type="gramStart"/>
      <w:r w:rsidRPr="0050016E">
        <w:rPr>
          <w:rFonts w:asciiTheme="majorBidi" w:hAnsiTheme="majorBidi" w:cstheme="majorBidi"/>
          <w:color w:val="0070C0"/>
          <w:sz w:val="28"/>
          <w:szCs w:val="28"/>
        </w:rPr>
        <w:t>,allowing</w:t>
      </w:r>
      <w:proofErr w:type="spellEnd"/>
      <w:proofErr w:type="gramEnd"/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%PRA and specificity to be </w:t>
      </w:r>
      <w:proofErr w:type="spellStart"/>
      <w:r w:rsidRPr="0050016E">
        <w:rPr>
          <w:rFonts w:asciiTheme="majorBidi" w:hAnsiTheme="majorBidi" w:cstheme="majorBidi"/>
          <w:color w:val="0070C0"/>
          <w:sz w:val="28"/>
          <w:szCs w:val="28"/>
        </w:rPr>
        <w:t>determined.Another</w:t>
      </w:r>
      <w:proofErr w:type="spellEnd"/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approach for antibody detection and identification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is flow </w:t>
      </w:r>
      <w:proofErr w:type="spellStart"/>
      <w:r w:rsidRPr="0050016E">
        <w:rPr>
          <w:rFonts w:asciiTheme="majorBidi" w:hAnsiTheme="majorBidi" w:cstheme="majorBidi"/>
          <w:color w:val="0070C0"/>
          <w:sz w:val="28"/>
          <w:szCs w:val="28"/>
        </w:rPr>
        <w:t>cytometry</w:t>
      </w:r>
      <w:proofErr w:type="spellEnd"/>
      <w:r w:rsidRPr="0050016E">
        <w:rPr>
          <w:rFonts w:asciiTheme="majorBidi" w:hAnsiTheme="majorBidi" w:cstheme="majorBidi"/>
          <w:color w:val="0070C0"/>
          <w:sz w:val="28"/>
          <w:szCs w:val="28"/>
        </w:rPr>
        <w:t>. Antibody in patient serum can be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incubated with latex beads that are coated with HLA antigens,</w:t>
      </w:r>
    </w:p>
    <w:p w:rsidR="0039717D" w:rsidRPr="0050016E" w:rsidRDefault="0039717D" w:rsidP="0050016E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70C0"/>
          <w:sz w:val="28"/>
          <w:szCs w:val="28"/>
        </w:rPr>
      </w:pPr>
      <w:proofErr w:type="gramStart"/>
      <w:r w:rsidRPr="0050016E">
        <w:rPr>
          <w:rFonts w:asciiTheme="majorBidi" w:hAnsiTheme="majorBidi" w:cstheme="majorBidi"/>
          <w:color w:val="0070C0"/>
          <w:sz w:val="28"/>
          <w:szCs w:val="28"/>
        </w:rPr>
        <w:t>either</w:t>
      </w:r>
      <w:proofErr w:type="gramEnd"/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from a single donor or a single purified HLA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protein. Patient serum is incubated with the beads, </w:t>
      </w:r>
      <w:proofErr w:type="spellStart"/>
      <w:r w:rsidRPr="0050016E">
        <w:rPr>
          <w:rFonts w:asciiTheme="majorBidi" w:hAnsiTheme="majorBidi" w:cstheme="majorBidi"/>
          <w:color w:val="0070C0"/>
          <w:sz w:val="28"/>
          <w:szCs w:val="28"/>
        </w:rPr>
        <w:t>andbound</w:t>
      </w:r>
      <w:proofErr w:type="spellEnd"/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antibody is detected by adding an FITC-labeled anti-</w:t>
      </w:r>
      <w:proofErr w:type="spellStart"/>
      <w:r w:rsidRPr="0050016E">
        <w:rPr>
          <w:rFonts w:asciiTheme="majorBidi" w:hAnsiTheme="majorBidi" w:cstheme="majorBidi"/>
          <w:color w:val="0070C0"/>
          <w:sz w:val="28"/>
          <w:szCs w:val="28"/>
        </w:rPr>
        <w:t>IgG</w:t>
      </w:r>
      <w:proofErr w:type="spellEnd"/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reagent </w:t>
      </w:r>
      <w:r w:rsidRPr="0050016E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(Fig. </w:t>
      </w:r>
      <w:r w:rsidR="00726983" w:rsidRPr="0050016E">
        <w:rPr>
          <w:rFonts w:asciiTheme="majorBidi" w:hAnsiTheme="majorBidi" w:cstheme="majorBidi"/>
          <w:b/>
          <w:bCs/>
          <w:color w:val="0070C0"/>
          <w:sz w:val="28"/>
          <w:szCs w:val="28"/>
        </w:rPr>
        <w:t>2</w:t>
      </w:r>
      <w:r w:rsidRPr="0050016E">
        <w:rPr>
          <w:rFonts w:asciiTheme="majorBidi" w:hAnsiTheme="majorBidi" w:cstheme="majorBidi"/>
          <w:b/>
          <w:bCs/>
          <w:color w:val="0070C0"/>
          <w:sz w:val="28"/>
          <w:szCs w:val="28"/>
        </w:rPr>
        <w:t>)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. A more recent version of flow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proofErr w:type="spellStart"/>
      <w:r w:rsidRPr="0050016E">
        <w:rPr>
          <w:rFonts w:asciiTheme="majorBidi" w:hAnsiTheme="majorBidi" w:cstheme="majorBidi"/>
          <w:color w:val="0070C0"/>
          <w:sz w:val="28"/>
          <w:szCs w:val="28"/>
        </w:rPr>
        <w:t>cytometry</w:t>
      </w:r>
      <w:proofErr w:type="spellEnd"/>
      <w:r w:rsidRPr="0050016E">
        <w:rPr>
          <w:rFonts w:asciiTheme="majorBidi" w:hAnsiTheme="majorBidi" w:cstheme="majorBidi"/>
          <w:color w:val="0070C0"/>
          <w:sz w:val="28"/>
          <w:szCs w:val="28"/>
        </w:rPr>
        <w:t>–based antibody detection is the multiplex bead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array system that can assess binding of up to 100 different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HLA antigens in a single tube using a dedicated flow-based</w:t>
      </w:r>
      <w:r w:rsidR="00726983">
        <w:rPr>
          <w:rFonts w:asciiTheme="majorBidi" w:hAnsiTheme="majorBidi" w:cstheme="majorBidi"/>
          <w:sz w:val="28"/>
          <w:szCs w:val="28"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detection system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>.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Flow </w:t>
      </w:r>
      <w:proofErr w:type="spellStart"/>
      <w:r w:rsidRPr="0050016E">
        <w:rPr>
          <w:rFonts w:asciiTheme="majorBidi" w:hAnsiTheme="majorBidi" w:cstheme="majorBidi"/>
          <w:color w:val="0070C0"/>
          <w:sz w:val="28"/>
          <w:szCs w:val="28"/>
        </w:rPr>
        <w:t>cytometry</w:t>
      </w:r>
      <w:proofErr w:type="spellEnd"/>
      <w:r w:rsidRPr="0050016E">
        <w:rPr>
          <w:rFonts w:asciiTheme="majorBidi" w:hAnsiTheme="majorBidi" w:cstheme="majorBidi"/>
          <w:color w:val="0070C0"/>
          <w:sz w:val="28"/>
          <w:szCs w:val="28"/>
        </w:rPr>
        <w:t>–based methods are the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most sensitive technology for detecting HLA antibodies. In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addition, they can provide the most specific determination</w:t>
      </w:r>
      <w:r w:rsidR="0050016E">
        <w:rPr>
          <w:rFonts w:asciiTheme="majorBidi" w:hAnsiTheme="majorBidi" w:cstheme="majorBidi" w:hint="cs"/>
          <w:color w:val="0070C0"/>
          <w:sz w:val="28"/>
          <w:szCs w:val="28"/>
          <w:rtl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of the specificity of HLA antibodies when beads coated with</w:t>
      </w:r>
      <w:r w:rsidR="0050016E">
        <w:rPr>
          <w:rFonts w:asciiTheme="majorBidi" w:hAnsiTheme="majorBidi" w:cstheme="majorBidi" w:hint="cs"/>
          <w:color w:val="0070C0"/>
          <w:sz w:val="28"/>
          <w:szCs w:val="28"/>
          <w:rtl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a single HLA antigenic type are used</w:t>
      </w:r>
      <w:r w:rsidR="0050016E">
        <w:rPr>
          <w:rFonts w:asciiTheme="majorBidi" w:hAnsiTheme="majorBidi" w:cstheme="majorBidi" w:hint="cs"/>
          <w:color w:val="0070C0"/>
          <w:sz w:val="28"/>
          <w:szCs w:val="28"/>
          <w:rtl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.Once a donor has been identified for a particular </w:t>
      </w:r>
      <w:proofErr w:type="gramStart"/>
      <w:r w:rsidRPr="0050016E">
        <w:rPr>
          <w:rFonts w:asciiTheme="majorBidi" w:hAnsiTheme="majorBidi" w:cstheme="majorBidi"/>
          <w:color w:val="0070C0"/>
          <w:sz w:val="28"/>
          <w:szCs w:val="28"/>
        </w:rPr>
        <w:t>patient</w:t>
      </w:r>
      <w:r w:rsidR="0050016E">
        <w:rPr>
          <w:rFonts w:asciiTheme="majorBidi" w:hAnsiTheme="majorBidi" w:cstheme="majorBidi" w:hint="cs"/>
          <w:color w:val="0070C0"/>
          <w:sz w:val="28"/>
          <w:szCs w:val="28"/>
          <w:rtl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,</w:t>
      </w:r>
      <w:r w:rsidRPr="0050016E">
        <w:rPr>
          <w:rFonts w:asciiTheme="majorBidi" w:hAnsiTheme="majorBidi" w:cstheme="majorBidi"/>
          <w:b/>
          <w:bCs/>
          <w:color w:val="0070C0"/>
          <w:sz w:val="28"/>
          <w:szCs w:val="28"/>
        </w:rPr>
        <w:t>a</w:t>
      </w:r>
      <w:proofErr w:type="gramEnd"/>
      <w:r w:rsidRPr="0050016E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 donor–recipient cross</w:t>
      </w:r>
      <w:r w:rsidR="0050016E" w:rsidRPr="0050016E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</w:rPr>
        <w:t xml:space="preserve"> </w:t>
      </w:r>
      <w:r w:rsidRPr="0050016E">
        <w:rPr>
          <w:rFonts w:asciiTheme="majorBidi" w:hAnsiTheme="majorBidi" w:cstheme="majorBidi"/>
          <w:b/>
          <w:bCs/>
          <w:color w:val="0070C0"/>
          <w:sz w:val="28"/>
          <w:szCs w:val="28"/>
        </w:rPr>
        <w:t>match test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is performed to confirm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the absence of donor-specific antibody. Donor lymphocytes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are incubated with recipient serum in a CDC assay to verify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a lack of binding as detected by microscopic analysis after</w:t>
      </w:r>
      <w:r w:rsidR="007361DF">
        <w:rPr>
          <w:rFonts w:asciiTheme="majorBidi" w:hAnsiTheme="majorBidi" w:cstheme="majorBidi" w:hint="cs"/>
          <w:color w:val="0070C0"/>
          <w:sz w:val="28"/>
          <w:szCs w:val="28"/>
          <w:rtl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addition of a vital dye. Alternatively, binding of antibody can</w:t>
      </w:r>
      <w:r w:rsidR="0050016E">
        <w:rPr>
          <w:rFonts w:asciiTheme="majorBidi" w:hAnsiTheme="majorBidi" w:cstheme="majorBidi" w:hint="cs"/>
          <w:color w:val="0070C0"/>
          <w:sz w:val="28"/>
          <w:szCs w:val="28"/>
          <w:rtl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be detected by flow </w:t>
      </w:r>
      <w:proofErr w:type="spellStart"/>
      <w:r w:rsidRPr="0050016E">
        <w:rPr>
          <w:rFonts w:asciiTheme="majorBidi" w:hAnsiTheme="majorBidi" w:cstheme="majorBidi"/>
          <w:color w:val="0070C0"/>
          <w:sz w:val="28"/>
          <w:szCs w:val="28"/>
        </w:rPr>
        <w:t>cytometry</w:t>
      </w:r>
      <w:proofErr w:type="spellEnd"/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using an FITC-labeled anti-</w:t>
      </w:r>
      <w:proofErr w:type="spellStart"/>
      <w:r w:rsidRPr="0050016E">
        <w:rPr>
          <w:rFonts w:asciiTheme="majorBidi" w:hAnsiTheme="majorBidi" w:cstheme="majorBidi"/>
          <w:color w:val="0070C0"/>
          <w:sz w:val="28"/>
          <w:szCs w:val="28"/>
        </w:rPr>
        <w:t>IgG</w:t>
      </w:r>
      <w:proofErr w:type="spellEnd"/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reagent. As for antibody screening and identification,</w:t>
      </w:r>
      <w:r w:rsidR="007361DF">
        <w:rPr>
          <w:rFonts w:asciiTheme="majorBidi" w:hAnsiTheme="majorBidi" w:cstheme="majorBidi" w:hint="cs"/>
          <w:color w:val="0070C0"/>
          <w:sz w:val="28"/>
          <w:szCs w:val="28"/>
          <w:rtl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the flow </w:t>
      </w:r>
      <w:proofErr w:type="spellStart"/>
      <w:r w:rsidRPr="0050016E">
        <w:rPr>
          <w:rFonts w:asciiTheme="majorBidi" w:hAnsiTheme="majorBidi" w:cstheme="majorBidi"/>
          <w:color w:val="0070C0"/>
          <w:sz w:val="28"/>
          <w:szCs w:val="28"/>
        </w:rPr>
        <w:t>cytometric</w:t>
      </w:r>
      <w:proofErr w:type="spellEnd"/>
      <w:r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cross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match is the most sensitive method</w:t>
      </w:r>
      <w:r w:rsidR="00726983" w:rsidRPr="0050016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50016E">
        <w:rPr>
          <w:rFonts w:asciiTheme="majorBidi" w:hAnsiTheme="majorBidi" w:cstheme="majorBidi"/>
          <w:color w:val="0070C0"/>
          <w:sz w:val="28"/>
          <w:szCs w:val="28"/>
        </w:rPr>
        <w:t>for detecting donor-specific antibody.</w:t>
      </w:r>
    </w:p>
    <w:p w:rsidR="00AE3BC4" w:rsidRDefault="00AE3BC4" w:rsidP="00726983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>
            <wp:extent cx="5943600" cy="4347319"/>
            <wp:effectExtent l="0" t="0" r="0" b="0"/>
            <wp:docPr id="3" name="Picture 3" descr="C:\Users\user\Desktop\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66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4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BC4" w:rsidRPr="00AE3BC4" w:rsidRDefault="00AE3BC4" w:rsidP="00AE3B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>Fig2</w:t>
      </w:r>
      <w:r w:rsidRPr="00AE3BC4">
        <w:rPr>
          <w:rFonts w:asciiTheme="majorBidi" w:hAnsiTheme="majorBidi" w:cstheme="majorBidi"/>
          <w:sz w:val="24"/>
          <w:szCs w:val="24"/>
        </w:rPr>
        <w:t>:</w:t>
      </w:r>
      <w:r w:rsidRPr="00AE3BC4">
        <w:rPr>
          <w:rFonts w:asciiTheme="majorBidi" w:hAnsiTheme="majorBidi" w:cstheme="majorBidi"/>
          <w:i/>
          <w:iCs/>
          <w:sz w:val="24"/>
          <w:szCs w:val="24"/>
        </w:rPr>
        <w:t xml:space="preserve"> (A) </w:t>
      </w:r>
      <w:r w:rsidRPr="00AE3BC4">
        <w:rPr>
          <w:rFonts w:asciiTheme="majorBidi" w:hAnsiTheme="majorBidi" w:cstheme="majorBidi"/>
          <w:sz w:val="24"/>
          <w:szCs w:val="24"/>
        </w:rPr>
        <w:t xml:space="preserve">Flow </w:t>
      </w:r>
      <w:proofErr w:type="spellStart"/>
      <w:r w:rsidRPr="00AE3BC4">
        <w:rPr>
          <w:rFonts w:asciiTheme="majorBidi" w:hAnsiTheme="majorBidi" w:cstheme="majorBidi"/>
          <w:sz w:val="24"/>
          <w:szCs w:val="24"/>
        </w:rPr>
        <w:t>cytometric</w:t>
      </w:r>
      <w:proofErr w:type="spellEnd"/>
      <w:r w:rsidRPr="00AE3BC4">
        <w:rPr>
          <w:rFonts w:asciiTheme="majorBidi" w:hAnsiTheme="majorBidi" w:cstheme="majorBidi"/>
          <w:sz w:val="24"/>
          <w:szCs w:val="24"/>
        </w:rPr>
        <w:t xml:space="preserve"> detection and identification of HLA antibodies employs latex beads that are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E3BC4">
        <w:rPr>
          <w:rFonts w:asciiTheme="majorBidi" w:hAnsiTheme="majorBidi" w:cstheme="majorBidi"/>
          <w:sz w:val="24"/>
          <w:szCs w:val="24"/>
        </w:rPr>
        <w:t xml:space="preserve">coated with HLA proteins from individual donors or single HLA molecules. For qualitative determination of </w:t>
      </w:r>
      <w:proofErr w:type="spellStart"/>
      <w:r w:rsidRPr="00AE3BC4">
        <w:rPr>
          <w:rFonts w:asciiTheme="majorBidi" w:hAnsiTheme="majorBidi" w:cstheme="majorBidi"/>
          <w:sz w:val="24"/>
          <w:szCs w:val="24"/>
        </w:rPr>
        <w:t>thepresence</w:t>
      </w:r>
      <w:proofErr w:type="spellEnd"/>
      <w:r w:rsidRPr="00AE3BC4">
        <w:rPr>
          <w:rFonts w:asciiTheme="majorBidi" w:hAnsiTheme="majorBidi" w:cstheme="majorBidi"/>
          <w:sz w:val="24"/>
          <w:szCs w:val="24"/>
        </w:rPr>
        <w:t xml:space="preserve"> of HLA antibodies, multiple beads, each coated with the product of an individual donor, are </w:t>
      </w:r>
      <w:proofErr w:type="spellStart"/>
      <w:r w:rsidRPr="00AE3BC4">
        <w:rPr>
          <w:rFonts w:asciiTheme="majorBidi" w:hAnsiTheme="majorBidi" w:cstheme="majorBidi"/>
          <w:sz w:val="24"/>
          <w:szCs w:val="24"/>
        </w:rPr>
        <w:t>pooledtogether</w:t>
      </w:r>
      <w:proofErr w:type="spellEnd"/>
      <w:r w:rsidRPr="00AE3BC4">
        <w:rPr>
          <w:rFonts w:asciiTheme="majorBidi" w:hAnsiTheme="majorBidi" w:cstheme="majorBidi"/>
          <w:sz w:val="24"/>
          <w:szCs w:val="24"/>
        </w:rPr>
        <w:t xml:space="preserve"> so as to represent the majority of common HLA antigens. They are then incubated with patient serum. </w:t>
      </w:r>
      <w:proofErr w:type="spellStart"/>
      <w:r w:rsidRPr="00AE3BC4">
        <w:rPr>
          <w:rFonts w:asciiTheme="majorBidi" w:hAnsiTheme="majorBidi" w:cstheme="majorBidi"/>
          <w:sz w:val="24"/>
          <w:szCs w:val="24"/>
        </w:rPr>
        <w:t>Todetermine</w:t>
      </w:r>
      <w:proofErr w:type="spellEnd"/>
      <w:r w:rsidRPr="00AE3BC4">
        <w:rPr>
          <w:rFonts w:asciiTheme="majorBidi" w:hAnsiTheme="majorBidi" w:cstheme="majorBidi"/>
          <w:sz w:val="24"/>
          <w:szCs w:val="24"/>
        </w:rPr>
        <w:t xml:space="preserve"> the specificity of HLA antibodies in a serum sample, beads coated with a single HLA protein species can</w:t>
      </w:r>
    </w:p>
    <w:p w:rsidR="008779C9" w:rsidRDefault="00AE3BC4" w:rsidP="008779C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AE3BC4">
        <w:rPr>
          <w:rFonts w:asciiTheme="majorBidi" w:hAnsiTheme="majorBidi" w:cstheme="majorBidi"/>
          <w:sz w:val="24"/>
          <w:szCs w:val="24"/>
        </w:rPr>
        <w:t>be</w:t>
      </w:r>
      <w:proofErr w:type="gramEnd"/>
      <w:r w:rsidRPr="00AE3BC4">
        <w:rPr>
          <w:rFonts w:asciiTheme="majorBidi" w:hAnsiTheme="majorBidi" w:cstheme="majorBidi"/>
          <w:sz w:val="24"/>
          <w:szCs w:val="24"/>
        </w:rPr>
        <w:t xml:space="preserve"> incubated with patient serum. Once incubated with serum, both bead types are then incubated with </w:t>
      </w:r>
      <w:proofErr w:type="gramStart"/>
      <w:r w:rsidRPr="00AE3BC4">
        <w:rPr>
          <w:rFonts w:asciiTheme="majorBidi" w:hAnsiTheme="majorBidi" w:cstheme="majorBidi"/>
          <w:sz w:val="24"/>
          <w:szCs w:val="24"/>
        </w:rPr>
        <w:t>an</w:t>
      </w:r>
      <w:proofErr w:type="gramEnd"/>
      <w:r w:rsidRPr="00AE3B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3BC4">
        <w:rPr>
          <w:rFonts w:asciiTheme="majorBidi" w:hAnsiTheme="majorBidi" w:cstheme="majorBidi"/>
          <w:sz w:val="24"/>
          <w:szCs w:val="24"/>
        </w:rPr>
        <w:t>FITClabeled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E3BC4">
        <w:rPr>
          <w:rFonts w:asciiTheme="majorBidi" w:hAnsiTheme="majorBidi" w:cstheme="majorBidi"/>
          <w:sz w:val="24"/>
          <w:szCs w:val="24"/>
        </w:rPr>
        <w:t>anti-</w:t>
      </w:r>
      <w:proofErr w:type="spellStart"/>
      <w:r w:rsidRPr="00AE3BC4">
        <w:rPr>
          <w:rFonts w:asciiTheme="majorBidi" w:hAnsiTheme="majorBidi" w:cstheme="majorBidi"/>
          <w:sz w:val="24"/>
          <w:szCs w:val="24"/>
        </w:rPr>
        <w:t>IgG</w:t>
      </w:r>
      <w:proofErr w:type="spellEnd"/>
      <w:r w:rsidRPr="00AE3BC4">
        <w:rPr>
          <w:rFonts w:asciiTheme="majorBidi" w:hAnsiTheme="majorBidi" w:cstheme="majorBidi"/>
          <w:sz w:val="24"/>
          <w:szCs w:val="24"/>
        </w:rPr>
        <w:t xml:space="preserve"> reagent that will detect the presence of antibodies bound to the </w:t>
      </w:r>
      <w:proofErr w:type="spellStart"/>
      <w:r w:rsidRPr="00AE3BC4">
        <w:rPr>
          <w:rFonts w:asciiTheme="majorBidi" w:hAnsiTheme="majorBidi" w:cstheme="majorBidi"/>
          <w:sz w:val="24"/>
          <w:szCs w:val="24"/>
        </w:rPr>
        <w:t>ead</w:t>
      </w:r>
      <w:proofErr w:type="spellEnd"/>
      <w:r w:rsidRPr="00AE3BC4">
        <w:rPr>
          <w:rFonts w:asciiTheme="majorBidi" w:hAnsiTheme="majorBidi" w:cstheme="majorBidi"/>
          <w:sz w:val="24"/>
          <w:szCs w:val="24"/>
        </w:rPr>
        <w:t xml:space="preserve">. </w:t>
      </w:r>
      <w:r w:rsidRPr="00AE3BC4">
        <w:rPr>
          <w:rFonts w:asciiTheme="majorBidi" w:hAnsiTheme="majorBidi" w:cstheme="majorBidi"/>
          <w:i/>
          <w:iCs/>
          <w:sz w:val="24"/>
          <w:szCs w:val="24"/>
        </w:rPr>
        <w:t xml:space="preserve">(B) </w:t>
      </w:r>
      <w:r w:rsidRPr="00AE3BC4">
        <w:rPr>
          <w:rFonts w:asciiTheme="majorBidi" w:hAnsiTheme="majorBidi" w:cstheme="majorBidi"/>
          <w:sz w:val="24"/>
          <w:szCs w:val="24"/>
        </w:rPr>
        <w:t>Single-parameter</w:t>
      </w:r>
      <w:r w:rsidR="008779C9">
        <w:rPr>
          <w:rFonts w:asciiTheme="majorBidi" w:hAnsiTheme="majorBidi" w:cstheme="majorBidi"/>
          <w:sz w:val="24"/>
          <w:szCs w:val="24"/>
        </w:rPr>
        <w:t xml:space="preserve"> </w:t>
      </w:r>
      <w:r w:rsidRPr="00AE3BC4">
        <w:rPr>
          <w:rFonts w:asciiTheme="majorBidi" w:hAnsiTheme="majorBidi" w:cstheme="majorBidi"/>
          <w:sz w:val="24"/>
          <w:szCs w:val="24"/>
        </w:rPr>
        <w:t>histogram display of an HLA class I antibody screen. A pool of HLA-coated beads was incubated with a patient</w:t>
      </w:r>
      <w:r w:rsidR="008779C9">
        <w:rPr>
          <w:rFonts w:asciiTheme="majorBidi" w:hAnsiTheme="majorBidi" w:cstheme="majorBidi"/>
          <w:sz w:val="24"/>
          <w:szCs w:val="24"/>
        </w:rPr>
        <w:t xml:space="preserve"> </w:t>
      </w:r>
      <w:r w:rsidRPr="00AE3BC4">
        <w:rPr>
          <w:rFonts w:asciiTheme="majorBidi" w:hAnsiTheme="majorBidi" w:cstheme="majorBidi"/>
          <w:sz w:val="24"/>
          <w:szCs w:val="24"/>
        </w:rPr>
        <w:t>serum, washed, and then incubated with an FITC-labeled anti-</w:t>
      </w:r>
      <w:proofErr w:type="spellStart"/>
      <w:r w:rsidRPr="00AE3BC4">
        <w:rPr>
          <w:rFonts w:asciiTheme="majorBidi" w:hAnsiTheme="majorBidi" w:cstheme="majorBidi"/>
          <w:sz w:val="24"/>
          <w:szCs w:val="24"/>
        </w:rPr>
        <w:t>IgG</w:t>
      </w:r>
      <w:proofErr w:type="spellEnd"/>
      <w:r w:rsidRPr="00AE3BC4">
        <w:rPr>
          <w:rFonts w:asciiTheme="majorBidi" w:hAnsiTheme="majorBidi" w:cstheme="majorBidi"/>
          <w:sz w:val="24"/>
          <w:szCs w:val="24"/>
        </w:rPr>
        <w:t xml:space="preserve"> reagent. Unbound FITC-labeled reagent was</w:t>
      </w:r>
      <w:r w:rsidR="008779C9">
        <w:rPr>
          <w:rFonts w:asciiTheme="majorBidi" w:hAnsiTheme="majorBidi" w:cstheme="majorBidi"/>
          <w:sz w:val="24"/>
          <w:szCs w:val="24"/>
        </w:rPr>
        <w:t xml:space="preserve"> </w:t>
      </w:r>
      <w:r w:rsidRPr="00AE3BC4">
        <w:rPr>
          <w:rFonts w:asciiTheme="majorBidi" w:hAnsiTheme="majorBidi" w:cstheme="majorBidi"/>
          <w:sz w:val="24"/>
          <w:szCs w:val="24"/>
        </w:rPr>
        <w:t>washed away and the beads analyzed for fluorescence on a flow cytometer. The large peak represents beads with</w:t>
      </w:r>
      <w:r w:rsidR="008779C9">
        <w:rPr>
          <w:rFonts w:asciiTheme="majorBidi" w:hAnsiTheme="majorBidi" w:cstheme="majorBidi"/>
          <w:sz w:val="24"/>
          <w:szCs w:val="24"/>
        </w:rPr>
        <w:t xml:space="preserve"> </w:t>
      </w:r>
      <w:r w:rsidRPr="00AE3BC4">
        <w:rPr>
          <w:rFonts w:asciiTheme="majorBidi" w:hAnsiTheme="majorBidi" w:cstheme="majorBidi"/>
          <w:sz w:val="24"/>
          <w:szCs w:val="24"/>
        </w:rPr>
        <w:t>no bound antibody, while the smaller peak to the right indicates the presence of HLA antibody bound to approximately</w:t>
      </w:r>
      <w:r w:rsidR="008779C9">
        <w:rPr>
          <w:rFonts w:asciiTheme="majorBidi" w:hAnsiTheme="majorBidi" w:cstheme="majorBidi"/>
          <w:sz w:val="24"/>
          <w:szCs w:val="24"/>
        </w:rPr>
        <w:t xml:space="preserve"> </w:t>
      </w:r>
      <w:r w:rsidRPr="00AE3BC4">
        <w:rPr>
          <w:rFonts w:asciiTheme="majorBidi" w:hAnsiTheme="majorBidi" w:cstheme="majorBidi"/>
          <w:sz w:val="24"/>
          <w:szCs w:val="24"/>
        </w:rPr>
        <w:t>19 percent of the HLA class I coated beads. This represents a positive HLA class I antibody screen.</w:t>
      </w:r>
    </w:p>
    <w:p w:rsidR="00CA2CFC" w:rsidRPr="00AE3BC4" w:rsidRDefault="00AE3BC4" w:rsidP="008779C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E3BC4">
        <w:rPr>
          <w:rFonts w:asciiTheme="majorBidi" w:hAnsiTheme="majorBidi" w:cstheme="majorBidi"/>
          <w:sz w:val="24"/>
          <w:szCs w:val="24"/>
        </w:rPr>
        <w:t xml:space="preserve"> </w:t>
      </w:r>
      <w:r w:rsidRPr="00AE3BC4">
        <w:rPr>
          <w:rFonts w:asciiTheme="majorBidi" w:hAnsiTheme="majorBidi" w:cstheme="majorBidi"/>
          <w:i/>
          <w:iCs/>
          <w:sz w:val="24"/>
          <w:szCs w:val="24"/>
        </w:rPr>
        <w:t xml:space="preserve">(C) </w:t>
      </w:r>
      <w:r w:rsidRPr="00AE3BC4">
        <w:rPr>
          <w:rFonts w:asciiTheme="majorBidi" w:hAnsiTheme="majorBidi" w:cstheme="majorBidi"/>
          <w:sz w:val="24"/>
          <w:szCs w:val="24"/>
        </w:rPr>
        <w:t>Nine</w:t>
      </w:r>
      <w:r w:rsidR="008779C9">
        <w:rPr>
          <w:rFonts w:asciiTheme="majorBidi" w:hAnsiTheme="majorBidi" w:cstheme="majorBidi"/>
          <w:sz w:val="24"/>
          <w:szCs w:val="24"/>
        </w:rPr>
        <w:t xml:space="preserve"> </w:t>
      </w:r>
      <w:r w:rsidRPr="00AE3BC4">
        <w:rPr>
          <w:rFonts w:asciiTheme="majorBidi" w:hAnsiTheme="majorBidi" w:cstheme="majorBidi"/>
          <w:sz w:val="24"/>
          <w:szCs w:val="24"/>
        </w:rPr>
        <w:t>individual clusters of latex beads, each coated with a single HLA class I antigen species, are identified in the dual</w:t>
      </w:r>
      <w:r w:rsidR="008779C9">
        <w:rPr>
          <w:rFonts w:asciiTheme="majorBidi" w:hAnsiTheme="majorBidi" w:cstheme="majorBidi"/>
          <w:sz w:val="24"/>
          <w:szCs w:val="24"/>
        </w:rPr>
        <w:t xml:space="preserve"> </w:t>
      </w:r>
      <w:r w:rsidRPr="00AE3BC4">
        <w:rPr>
          <w:rFonts w:asciiTheme="majorBidi" w:hAnsiTheme="majorBidi" w:cstheme="majorBidi"/>
          <w:sz w:val="24"/>
          <w:szCs w:val="24"/>
        </w:rPr>
        <w:t>parameter</w:t>
      </w:r>
      <w:r w:rsidR="008779C9">
        <w:rPr>
          <w:rFonts w:asciiTheme="majorBidi" w:hAnsiTheme="majorBidi" w:cstheme="majorBidi"/>
          <w:sz w:val="24"/>
          <w:szCs w:val="24"/>
        </w:rPr>
        <w:t xml:space="preserve"> </w:t>
      </w:r>
      <w:r w:rsidRPr="00AE3BC4">
        <w:rPr>
          <w:rFonts w:asciiTheme="majorBidi" w:hAnsiTheme="majorBidi" w:cstheme="majorBidi"/>
          <w:sz w:val="24"/>
          <w:szCs w:val="24"/>
        </w:rPr>
        <w:t xml:space="preserve">dot plot of the serum from </w:t>
      </w:r>
      <w:r w:rsidRPr="00AE3BC4">
        <w:rPr>
          <w:rFonts w:asciiTheme="majorBidi" w:hAnsiTheme="majorBidi" w:cstheme="majorBidi"/>
          <w:i/>
          <w:iCs/>
          <w:sz w:val="24"/>
          <w:szCs w:val="24"/>
        </w:rPr>
        <w:t xml:space="preserve">(B). </w:t>
      </w:r>
      <w:r w:rsidRPr="00AE3BC4">
        <w:rPr>
          <w:rFonts w:asciiTheme="majorBidi" w:hAnsiTheme="majorBidi" w:cstheme="majorBidi"/>
          <w:sz w:val="24"/>
          <w:szCs w:val="24"/>
        </w:rPr>
        <w:t xml:space="preserve">The HLA antigen coated on each bead is indicated to the right of </w:t>
      </w:r>
      <w:proofErr w:type="spellStart"/>
      <w:r w:rsidRPr="00AE3BC4">
        <w:rPr>
          <w:rFonts w:asciiTheme="majorBidi" w:hAnsiTheme="majorBidi" w:cstheme="majorBidi"/>
          <w:sz w:val="24"/>
          <w:szCs w:val="24"/>
        </w:rPr>
        <w:t>thebead</w:t>
      </w:r>
      <w:proofErr w:type="spellEnd"/>
      <w:r w:rsidRPr="00AE3BC4">
        <w:rPr>
          <w:rFonts w:asciiTheme="majorBidi" w:hAnsiTheme="majorBidi" w:cstheme="majorBidi"/>
          <w:sz w:val="24"/>
          <w:szCs w:val="24"/>
        </w:rPr>
        <w:t>. The bead coated with HLA-A11 has shifted to the right relative to the other beads, indicating that the HLA</w:t>
      </w:r>
      <w:r w:rsidR="008779C9">
        <w:rPr>
          <w:rFonts w:asciiTheme="majorBidi" w:hAnsiTheme="majorBidi" w:cstheme="majorBidi"/>
          <w:sz w:val="24"/>
          <w:szCs w:val="24"/>
        </w:rPr>
        <w:t xml:space="preserve"> </w:t>
      </w:r>
      <w:r w:rsidRPr="00AE3BC4">
        <w:rPr>
          <w:rFonts w:asciiTheme="majorBidi" w:hAnsiTheme="majorBidi" w:cstheme="majorBidi"/>
          <w:sz w:val="24"/>
          <w:szCs w:val="24"/>
        </w:rPr>
        <w:t xml:space="preserve">antibodies in this patient’s serum are specific for the A11 antigen. </w:t>
      </w:r>
    </w:p>
    <w:sectPr w:rsidR="00CA2CFC" w:rsidRPr="00AE3BC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9DA" w:rsidRDefault="00E379DA" w:rsidP="00765DC5">
      <w:pPr>
        <w:spacing w:after="0" w:line="240" w:lineRule="auto"/>
      </w:pPr>
      <w:r>
        <w:separator/>
      </w:r>
    </w:p>
  </w:endnote>
  <w:endnote w:type="continuationSeparator" w:id="0">
    <w:p w:rsidR="00E379DA" w:rsidRDefault="00E379DA" w:rsidP="0076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6388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DC5" w:rsidRDefault="00765D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44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DC5" w:rsidRDefault="00765D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9DA" w:rsidRDefault="00E379DA" w:rsidP="00765DC5">
      <w:pPr>
        <w:spacing w:after="0" w:line="240" w:lineRule="auto"/>
      </w:pPr>
      <w:r>
        <w:separator/>
      </w:r>
    </w:p>
  </w:footnote>
  <w:footnote w:type="continuationSeparator" w:id="0">
    <w:p w:rsidR="00E379DA" w:rsidRDefault="00E379DA" w:rsidP="00765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E3"/>
    <w:rsid w:val="001A6388"/>
    <w:rsid w:val="00361E2A"/>
    <w:rsid w:val="00363707"/>
    <w:rsid w:val="0039717D"/>
    <w:rsid w:val="003A2208"/>
    <w:rsid w:val="003B7271"/>
    <w:rsid w:val="003D209B"/>
    <w:rsid w:val="004021FE"/>
    <w:rsid w:val="004362B4"/>
    <w:rsid w:val="004C14BB"/>
    <w:rsid w:val="004E2680"/>
    <w:rsid w:val="004E72A1"/>
    <w:rsid w:val="004F13D3"/>
    <w:rsid w:val="0050016E"/>
    <w:rsid w:val="005C3184"/>
    <w:rsid w:val="00646209"/>
    <w:rsid w:val="006652D0"/>
    <w:rsid w:val="006B2482"/>
    <w:rsid w:val="00720086"/>
    <w:rsid w:val="00726983"/>
    <w:rsid w:val="007361DF"/>
    <w:rsid w:val="00765DC5"/>
    <w:rsid w:val="007972F4"/>
    <w:rsid w:val="008779C9"/>
    <w:rsid w:val="009970E3"/>
    <w:rsid w:val="00AE3BC4"/>
    <w:rsid w:val="00B20AB5"/>
    <w:rsid w:val="00B93F07"/>
    <w:rsid w:val="00BE43F5"/>
    <w:rsid w:val="00C144B9"/>
    <w:rsid w:val="00CA2CFC"/>
    <w:rsid w:val="00E16F0F"/>
    <w:rsid w:val="00E379DA"/>
    <w:rsid w:val="00E4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DC5"/>
  </w:style>
  <w:style w:type="paragraph" w:styleId="Footer">
    <w:name w:val="footer"/>
    <w:basedOn w:val="Normal"/>
    <w:link w:val="FooterChar"/>
    <w:uiPriority w:val="99"/>
    <w:unhideWhenUsed/>
    <w:rsid w:val="0076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DC5"/>
  </w:style>
  <w:style w:type="paragraph" w:styleId="BalloonText">
    <w:name w:val="Balloon Text"/>
    <w:basedOn w:val="Normal"/>
    <w:link w:val="BalloonTextChar"/>
    <w:uiPriority w:val="99"/>
    <w:semiHidden/>
    <w:unhideWhenUsed/>
    <w:rsid w:val="001A6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DC5"/>
  </w:style>
  <w:style w:type="paragraph" w:styleId="Footer">
    <w:name w:val="footer"/>
    <w:basedOn w:val="Normal"/>
    <w:link w:val="FooterChar"/>
    <w:uiPriority w:val="99"/>
    <w:unhideWhenUsed/>
    <w:rsid w:val="0076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DC5"/>
  </w:style>
  <w:style w:type="paragraph" w:styleId="BalloonText">
    <w:name w:val="Balloon Text"/>
    <w:basedOn w:val="Normal"/>
    <w:link w:val="BalloonTextChar"/>
    <w:uiPriority w:val="99"/>
    <w:semiHidden/>
    <w:unhideWhenUsed/>
    <w:rsid w:val="001A6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B261E-5A03-4B95-A558-82FDE56CB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2020-07-05T21:10:00Z</dcterms:created>
  <dcterms:modified xsi:type="dcterms:W3CDTF">2021-05-08T20:40:00Z</dcterms:modified>
</cp:coreProperties>
</file>