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BF" w:rsidRPr="009F4169" w:rsidRDefault="009F4169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F4169">
        <w:rPr>
          <w:rFonts w:asciiTheme="majorBidi" w:hAnsiTheme="majorBidi" w:cstheme="majorBidi"/>
          <w:sz w:val="28"/>
          <w:szCs w:val="28"/>
        </w:rPr>
        <w:t>Lec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F4169">
        <w:rPr>
          <w:rFonts w:asciiTheme="majorBidi" w:hAnsiTheme="majorBidi" w:cstheme="majorBidi"/>
          <w:sz w:val="28"/>
          <w:szCs w:val="28"/>
        </w:rPr>
        <w:t xml:space="preserve">2)                                              </w:t>
      </w:r>
      <w:proofErr w:type="spellStart"/>
      <w:r w:rsidRPr="009F4169">
        <w:rPr>
          <w:rFonts w:asciiTheme="majorBidi" w:hAnsiTheme="majorBidi" w:cstheme="majorBidi"/>
          <w:sz w:val="28"/>
          <w:szCs w:val="28"/>
        </w:rPr>
        <w:t>Immunotechnology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 xml:space="preserve">  </w:t>
      </w:r>
    </w:p>
    <w:p w:rsidR="009F4169" w:rsidRDefault="009F4169">
      <w:pPr>
        <w:rPr>
          <w:rFonts w:asciiTheme="majorBidi" w:hAnsiTheme="majorBidi" w:cstheme="majorBidi"/>
          <w:sz w:val="28"/>
          <w:szCs w:val="28"/>
          <w:rtl/>
        </w:rPr>
      </w:pPr>
      <w:r w:rsidRPr="009F4169">
        <w:rPr>
          <w:rFonts w:asciiTheme="majorBidi" w:hAnsiTheme="majorBidi" w:cstheme="majorBidi"/>
          <w:sz w:val="28"/>
          <w:szCs w:val="28"/>
        </w:rPr>
        <w:t>Prof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r w:rsidRPr="009F4169">
        <w:rPr>
          <w:rFonts w:asciiTheme="majorBidi" w:hAnsiTheme="majorBidi" w:cstheme="majorBidi"/>
          <w:sz w:val="28"/>
          <w:szCs w:val="28"/>
        </w:rPr>
        <w:t>.Dr.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4169">
        <w:rPr>
          <w:rFonts w:asciiTheme="majorBidi" w:hAnsiTheme="majorBidi" w:cstheme="majorBidi"/>
          <w:sz w:val="28"/>
          <w:szCs w:val="28"/>
        </w:rPr>
        <w:t>Ekhlass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 xml:space="preserve"> 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9F4169">
        <w:rPr>
          <w:rFonts w:asciiTheme="majorBidi" w:hAnsiTheme="majorBidi" w:cstheme="majorBidi"/>
          <w:sz w:val="28"/>
          <w:szCs w:val="28"/>
        </w:rPr>
        <w:t>N. Ali</w:t>
      </w:r>
    </w:p>
    <w:p w:rsidR="00567FFA" w:rsidRDefault="00567FFA" w:rsidP="00567FFA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000000"/>
        </w:rPr>
      </w:pPr>
      <w:r>
        <w:rPr>
          <w:rFonts w:ascii="Univers-Bold" w:hAnsi="Univers-Bold" w:cs="Univers-Bold"/>
          <w:b/>
          <w:bCs/>
          <w:color w:val="000000"/>
        </w:rPr>
        <w:t>IMMUNOFIXATION ELECTROPHORESIS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Immunofixation</w:t>
      </w:r>
      <w:proofErr w:type="spellEnd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electrophoresis (IFE),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or simply </w:t>
      </w:r>
      <w:proofErr w:type="spellStart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immunofixation</w:t>
      </w:r>
      <w:proofErr w:type="gramStart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has</w:t>
      </w:r>
      <w:proofErr w:type="spellEnd"/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replaced IEP in the evaluation of monoclonal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because of its rapidity and ease of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interpretation.IFE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is a two-stage procedure,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gel protein electrophoresis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color w:val="000000"/>
          <w:sz w:val="28"/>
          <w:szCs w:val="28"/>
        </w:rPr>
        <w:t>and</w:t>
      </w:r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immunoprecipitation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 The test specimen may be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serum, urine, cerebrospinal fluid (CSF), or other body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fluids.The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primary use of IFE in clinical laboratories is for the characterization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of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immunoglobulins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Clinical Applications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Although IFE was first described in 1964, it was introduced as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a procedure for the study of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immunoglobulins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in 1976. IEP and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IFE are complementary techniques best used in the workup of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a patient with a suspected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gammopathy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 The laboratory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protocol for ruling out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gammopathy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should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include high-resolution electrophoresis, IEP of both serum and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urine, and a quantitative immunoglobulin assay. These procedures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are usually sufficient to detect and characterize monoclonal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proteins with a serum concentration of 1 g/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dL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or more.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The following three protein variables can be determined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using IFE: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1. Antigenic specificity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2. Electrophoretic mobility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3. Quantity or ratio of test and control proteins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COMPARISON OF TECHNIQUES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IEP is technically simpler and less subject to antigen excess phenomenon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than IFE. If high concentrations of monoclonal protein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with IFE give no visible reactions, IEP is considered to be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a better technique for typing large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Immunofixation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electrophoresis can be optimized to give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greater sensitivity and resolution than IEP. IFE should be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reserved for anomalous proteins, which are difficult to characterize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by IEP. These include small bands, such as those exhibited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color w:val="000000"/>
          <w:sz w:val="28"/>
          <w:szCs w:val="28"/>
        </w:rPr>
        <w:t>in</w:t>
      </w:r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the early stages of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or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L-chain disease, and any multiple, closely spaced bands. The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results of IFE are easier to interpret than those of IEP because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interpretation is based on examination of a precipitate pattern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4E5924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69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color w:val="000000"/>
          <w:sz w:val="28"/>
          <w:szCs w:val="28"/>
        </w:rPr>
        <w:t>directly</w:t>
      </w:r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analogous to routine electrophoresis; IFE does not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depend on detecting slight deviations in the shape of a precipitin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arc (</w:t>
      </w:r>
      <w:r w:rsidRPr="00D96AA5">
        <w:rPr>
          <w:rFonts w:asciiTheme="majorBidi" w:hAnsiTheme="majorBidi" w:cstheme="majorBidi"/>
          <w:color w:val="000069"/>
          <w:sz w:val="28"/>
          <w:szCs w:val="28"/>
        </w:rPr>
        <w:t xml:space="preserve">Fig. </w:t>
      </w:r>
      <w:r w:rsidR="00E022CE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="004E5924" w:rsidRPr="00D96AA5">
        <w:rPr>
          <w:rFonts w:asciiTheme="majorBidi" w:hAnsiTheme="majorBidi" w:cstheme="majorBidi"/>
          <w:color w:val="000069"/>
          <w:sz w:val="28"/>
          <w:szCs w:val="28"/>
        </w:rPr>
        <w:t xml:space="preserve">Table </w:t>
      </w:r>
      <w:r w:rsidR="00E022CE">
        <w:rPr>
          <w:rFonts w:asciiTheme="majorBidi" w:hAnsiTheme="majorBidi" w:cstheme="majorBidi"/>
          <w:color w:val="000069"/>
          <w:sz w:val="28"/>
          <w:szCs w:val="28"/>
        </w:rPr>
        <w:t>1).</w:t>
      </w:r>
    </w:p>
    <w:p w:rsidR="004E5924" w:rsidRPr="00D96AA5" w:rsidRDefault="004E5924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69"/>
          <w:sz w:val="28"/>
          <w:szCs w:val="28"/>
        </w:rPr>
      </w:pPr>
      <w:r w:rsidRPr="00D96AA5">
        <w:rPr>
          <w:rFonts w:asciiTheme="majorBidi" w:hAnsiTheme="majorBidi" w:cstheme="majorBidi"/>
          <w:color w:val="000069"/>
          <w:sz w:val="28"/>
          <w:szCs w:val="28"/>
        </w:rPr>
        <w:lastRenderedPageBreak/>
        <w:t>Table1:</w:t>
      </w:r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 Comparison of </w:t>
      </w:r>
      <w:proofErr w:type="spellStart"/>
      <w:r w:rsidRPr="00D96AA5">
        <w:rPr>
          <w:rFonts w:asciiTheme="majorBidi" w:hAnsiTheme="majorBidi" w:cstheme="majorBidi"/>
          <w:b/>
          <w:bCs/>
          <w:sz w:val="28"/>
          <w:szCs w:val="28"/>
        </w:rPr>
        <w:t>Immunoelectrophoresis</w:t>
      </w:r>
      <w:proofErr w:type="spellEnd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D96AA5">
        <w:rPr>
          <w:rFonts w:asciiTheme="majorBidi" w:hAnsiTheme="majorBidi" w:cstheme="majorBidi"/>
          <w:b/>
          <w:bCs/>
          <w:sz w:val="28"/>
          <w:szCs w:val="28"/>
        </w:rPr>
        <w:t>Immunofixation</w:t>
      </w:r>
      <w:proofErr w:type="spellEnd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D96AA5">
        <w:rPr>
          <w:rFonts w:asciiTheme="majorBidi" w:hAnsiTheme="majorBidi" w:cstheme="majorBidi"/>
          <w:b/>
          <w:bCs/>
          <w:sz w:val="28"/>
          <w:szCs w:val="28"/>
        </w:rPr>
        <w:t>Electrophoresis</w:t>
      </w:r>
      <w:r w:rsidRPr="00D96AA5">
        <w:rPr>
          <w:rFonts w:asciiTheme="majorBidi" w:hAnsiTheme="majorBidi" w:cstheme="majorBidi"/>
          <w:color w:val="000069"/>
          <w:sz w:val="28"/>
          <w:szCs w:val="28"/>
        </w:rPr>
        <w:t xml:space="preserve"> .</w:t>
      </w:r>
      <w:proofErr w:type="gramEnd"/>
    </w:p>
    <w:p w:rsidR="00CC2ED7" w:rsidRPr="00D96AA5" w:rsidRDefault="004E5924" w:rsidP="00D96AA5">
      <w:pPr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4781A5" wp14:editId="16455E33">
            <wp:extent cx="3651250" cy="1468120"/>
            <wp:effectExtent l="0" t="0" r="6350" b="0"/>
            <wp:docPr id="1" name="Picture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24" w:rsidRPr="00D96AA5" w:rsidRDefault="00CC2ED7" w:rsidP="00D96AA5">
      <w:pPr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E3B9A66" wp14:editId="4F9F2D05">
            <wp:extent cx="5943600" cy="3943380"/>
            <wp:effectExtent l="0" t="0" r="0" b="0"/>
            <wp:docPr id="2" name="Picture 2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D7" w:rsidRPr="00D96AA5" w:rsidRDefault="00CC2ED7" w:rsidP="00D96AA5">
      <w:pPr>
        <w:rPr>
          <w:rFonts w:asciiTheme="majorBidi" w:hAnsiTheme="majorBidi" w:cstheme="majorBidi"/>
          <w:sz w:val="28"/>
          <w:szCs w:val="28"/>
        </w:rPr>
      </w:pPr>
    </w:p>
    <w:p w:rsidR="00CC2ED7" w:rsidRPr="00B3412C" w:rsidRDefault="00CC2ED7" w:rsidP="00B341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</w:rPr>
      </w:pPr>
      <w:r w:rsidRPr="00B3412C">
        <w:rPr>
          <w:rFonts w:asciiTheme="majorBidi" w:hAnsiTheme="majorBidi" w:cstheme="majorBidi"/>
        </w:rPr>
        <w:t>Fig1:</w:t>
      </w:r>
      <w:r w:rsidRPr="00B3412C">
        <w:rPr>
          <w:rFonts w:asciiTheme="majorBidi" w:hAnsiTheme="majorBidi" w:cstheme="majorBidi"/>
          <w:b/>
          <w:bCs/>
        </w:rPr>
        <w:t xml:space="preserve"> Comparison of </w:t>
      </w:r>
      <w:proofErr w:type="spellStart"/>
      <w:r w:rsidRPr="00B3412C">
        <w:rPr>
          <w:rFonts w:asciiTheme="majorBidi" w:hAnsiTheme="majorBidi" w:cstheme="majorBidi"/>
          <w:b/>
          <w:bCs/>
        </w:rPr>
        <w:t>immunofixation</w:t>
      </w:r>
      <w:proofErr w:type="spellEnd"/>
      <w:r w:rsidRPr="00B3412C">
        <w:rPr>
          <w:rFonts w:asciiTheme="majorBidi" w:hAnsiTheme="majorBidi" w:cstheme="majorBidi"/>
          <w:b/>
          <w:bCs/>
        </w:rPr>
        <w:t xml:space="preserve"> electrophoresis (IFE) and </w:t>
      </w:r>
      <w:proofErr w:type="spellStart"/>
      <w:r w:rsidRPr="00B3412C">
        <w:rPr>
          <w:rFonts w:asciiTheme="majorBidi" w:hAnsiTheme="majorBidi" w:cstheme="majorBidi"/>
          <w:b/>
          <w:bCs/>
        </w:rPr>
        <w:t>immunoelectrophoresis</w:t>
      </w:r>
      <w:proofErr w:type="spellEnd"/>
      <w:r w:rsidRPr="00B3412C">
        <w:rPr>
          <w:rFonts w:asciiTheme="majorBidi" w:hAnsiTheme="majorBidi" w:cstheme="majorBidi"/>
          <w:b/>
          <w:bCs/>
        </w:rPr>
        <w:t xml:space="preserve"> (IEP) for two patients with monoclonal </w:t>
      </w:r>
      <w:proofErr w:type="spellStart"/>
      <w:r w:rsidR="00B3412C" w:rsidRPr="00B3412C">
        <w:rPr>
          <w:rFonts w:asciiTheme="majorBidi" w:hAnsiTheme="majorBidi" w:cstheme="majorBidi"/>
          <w:b/>
          <w:bCs/>
        </w:rPr>
        <w:t>g</w:t>
      </w:r>
      <w:r w:rsidRPr="00B3412C">
        <w:rPr>
          <w:rFonts w:asciiTheme="majorBidi" w:hAnsiTheme="majorBidi" w:cstheme="majorBidi"/>
          <w:b/>
          <w:bCs/>
        </w:rPr>
        <w:t>ammopathies</w:t>
      </w:r>
      <w:proofErr w:type="spellEnd"/>
      <w:r w:rsidRPr="00B3412C">
        <w:rPr>
          <w:rFonts w:asciiTheme="majorBidi" w:hAnsiTheme="majorBidi" w:cstheme="majorBidi"/>
          <w:b/>
          <w:bCs/>
        </w:rPr>
        <w:t>.</w:t>
      </w:r>
    </w:p>
    <w:p w:rsidR="00CC2ED7" w:rsidRPr="00D96AA5" w:rsidRDefault="00CC2ED7" w:rsidP="007E7D1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A, </w:t>
      </w:r>
      <w:r w:rsidRPr="00D96AA5">
        <w:rPr>
          <w:rFonts w:asciiTheme="majorBidi" w:hAnsiTheme="majorBidi" w:cstheme="majorBidi"/>
          <w:sz w:val="28"/>
          <w:szCs w:val="28"/>
        </w:rPr>
        <w:t xml:space="preserve">Patient specimen with an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(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>) monoclonal protein, as identified by IFE.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Note the position of the monoclonal protein </w:t>
      </w:r>
      <w:r w:rsidRPr="00D96AA5">
        <w:rPr>
          <w:rFonts w:asciiTheme="majorBidi" w:hAnsiTheme="majorBidi" w:cstheme="majorBidi"/>
          <w:i/>
          <w:iCs/>
          <w:sz w:val="28"/>
          <w:szCs w:val="28"/>
        </w:rPr>
        <w:t xml:space="preserve">(arrow). </w:t>
      </w:r>
      <w:r w:rsidRPr="00D96AA5">
        <w:rPr>
          <w:rFonts w:asciiTheme="majorBidi" w:hAnsiTheme="majorBidi" w:cstheme="majorBidi"/>
          <w:sz w:val="28"/>
          <w:szCs w:val="28"/>
        </w:rPr>
        <w:t>After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electrophoresis, each track except serum protein electrophoresis (SPE) is reacted with its respective antiserum; then, all tracks are stained to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visualize the respective protein bands.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G, A, and M (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IgA,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>); kappa (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>); and lambda (</w:t>
      </w:r>
      <w:r w:rsidRPr="00D96AA5">
        <w:rPr>
          <w:rFonts w:asciiTheme="majorBidi" w:eastAsia="TnQ" w:hAnsiTheme="majorBidi" w:cstheme="majorBidi"/>
          <w:sz w:val="28"/>
          <w:szCs w:val="28"/>
        </w:rPr>
        <w:t>λ</w:t>
      </w:r>
      <w:r w:rsidRPr="00D96AA5">
        <w:rPr>
          <w:rFonts w:asciiTheme="majorBidi" w:hAnsiTheme="majorBidi" w:cstheme="majorBidi"/>
          <w:sz w:val="28"/>
          <w:szCs w:val="28"/>
        </w:rPr>
        <w:t xml:space="preserve">) </w:t>
      </w:r>
      <w:r w:rsidRPr="00D96AA5">
        <w:rPr>
          <w:rFonts w:asciiTheme="majorBidi" w:hAnsiTheme="majorBidi" w:cstheme="majorBidi"/>
          <w:sz w:val="28"/>
          <w:szCs w:val="28"/>
        </w:rPr>
        <w:lastRenderedPageBreak/>
        <w:t>indicate antiserum used on each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track. </w:t>
      </w:r>
      <w:proofErr w:type="gramStart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B, </w:t>
      </w:r>
      <w:r w:rsidRPr="00D96AA5">
        <w:rPr>
          <w:rFonts w:asciiTheme="majorBidi" w:hAnsiTheme="majorBidi" w:cstheme="majorBidi"/>
          <w:sz w:val="28"/>
          <w:szCs w:val="28"/>
        </w:rPr>
        <w:t xml:space="preserve">Same specimen as in </w:t>
      </w:r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A, </w:t>
      </w:r>
      <w:r w:rsidRPr="00D96AA5">
        <w:rPr>
          <w:rFonts w:asciiTheme="majorBidi" w:hAnsiTheme="majorBidi" w:cstheme="majorBidi"/>
          <w:sz w:val="28"/>
          <w:szCs w:val="28"/>
        </w:rPr>
        <w:t>with proteins identified by IEP.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Note the position of the monoclonal protein </w:t>
      </w:r>
      <w:r w:rsidRPr="00D96AA5">
        <w:rPr>
          <w:rFonts w:asciiTheme="majorBidi" w:hAnsiTheme="majorBidi" w:cstheme="majorBidi"/>
          <w:i/>
          <w:iCs/>
          <w:sz w:val="28"/>
          <w:szCs w:val="28"/>
        </w:rPr>
        <w:t xml:space="preserve">(arrow). </w:t>
      </w:r>
      <w:r w:rsidRPr="00D96AA5">
        <w:rPr>
          <w:rFonts w:asciiTheme="majorBidi" w:hAnsiTheme="majorBidi" w:cstheme="majorBidi"/>
          <w:sz w:val="28"/>
          <w:szCs w:val="28"/>
        </w:rPr>
        <w:t>Normal control (C) and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patient sera (S) are alternated. After electrophoresis, antiserum is added to each trough, as indicated by the labels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IgA,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 xml:space="preserve">, and </w:t>
      </w:r>
      <w:r w:rsidRPr="00D96AA5">
        <w:rPr>
          <w:rFonts w:asciiTheme="majorBidi" w:eastAsia="TnQ" w:hAnsiTheme="majorBidi" w:cstheme="majorBidi"/>
          <w:sz w:val="28"/>
          <w:szCs w:val="28"/>
        </w:rPr>
        <w:t>λ</w:t>
      </w:r>
      <w:r w:rsidRPr="00D96AA5">
        <w:rPr>
          <w:rFonts w:asciiTheme="majorBidi" w:hAnsiTheme="majorBidi" w:cstheme="majorBidi"/>
          <w:sz w:val="28"/>
          <w:szCs w:val="28"/>
        </w:rPr>
        <w:t>. The</w:t>
      </w:r>
    </w:p>
    <w:p w:rsidR="00CC2ED7" w:rsidRPr="00D96AA5" w:rsidRDefault="00CC2ED7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sz w:val="28"/>
          <w:szCs w:val="28"/>
        </w:rPr>
        <w:t>antisera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react with separated proteins in the specimens to form precipitates in the shape of arcs. The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and </w:t>
      </w:r>
      <w:r w:rsidRPr="00D96AA5">
        <w:rPr>
          <w:rFonts w:asciiTheme="majorBidi" w:eastAsia="TnQ" w:hAnsiTheme="majorBidi" w:cstheme="majorBidi"/>
          <w:sz w:val="28"/>
          <w:szCs w:val="28"/>
        </w:rPr>
        <w:t xml:space="preserve">κ </w:t>
      </w:r>
      <w:r w:rsidRPr="00D96AA5">
        <w:rPr>
          <w:rFonts w:asciiTheme="majorBidi" w:hAnsiTheme="majorBidi" w:cstheme="majorBidi"/>
          <w:sz w:val="28"/>
          <w:szCs w:val="28"/>
        </w:rPr>
        <w:t>arcs are shorter and thicker than</w:t>
      </w:r>
    </w:p>
    <w:p w:rsidR="00CC2ED7" w:rsidRPr="007E7D1E" w:rsidRDefault="00CC2ED7" w:rsidP="007E7D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those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in the normal control, showing the presence of the </w:t>
      </w:r>
      <w:proofErr w:type="spellStart"/>
      <w:r w:rsidRPr="007E7D1E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7E7D1E">
        <w:rPr>
          <w:rFonts w:asciiTheme="majorBidi" w:hAnsiTheme="majorBidi" w:cstheme="majorBidi"/>
          <w:sz w:val="28"/>
          <w:szCs w:val="28"/>
        </w:rPr>
        <w:t xml:space="preserve"> (</w:t>
      </w:r>
      <w:r w:rsidRPr="007E7D1E">
        <w:rPr>
          <w:rFonts w:asciiTheme="majorBidi" w:eastAsia="TnQ" w:hAnsiTheme="majorBidi" w:cstheme="majorBidi"/>
          <w:sz w:val="28"/>
          <w:szCs w:val="28"/>
        </w:rPr>
        <w:t>κ</w:t>
      </w:r>
      <w:r w:rsidRPr="007E7D1E">
        <w:rPr>
          <w:rFonts w:asciiTheme="majorBidi" w:hAnsiTheme="majorBidi" w:cstheme="majorBidi"/>
          <w:sz w:val="28"/>
          <w:szCs w:val="28"/>
        </w:rPr>
        <w:t xml:space="preserve">) monoclonal protein. The concentrations of IgA, </w:t>
      </w:r>
      <w:proofErr w:type="spellStart"/>
      <w:r w:rsidRPr="007E7D1E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7E7D1E">
        <w:rPr>
          <w:rFonts w:asciiTheme="majorBidi" w:hAnsiTheme="majorBidi" w:cstheme="majorBidi"/>
          <w:sz w:val="28"/>
          <w:szCs w:val="28"/>
        </w:rPr>
        <w:t xml:space="preserve">, and </w:t>
      </w:r>
      <w:r w:rsidRPr="007E7D1E">
        <w:rPr>
          <w:rFonts w:asciiTheme="majorBidi" w:eastAsia="TnQ" w:hAnsiTheme="majorBidi" w:cstheme="majorBidi"/>
          <w:sz w:val="28"/>
          <w:szCs w:val="28"/>
        </w:rPr>
        <w:t xml:space="preserve">λ </w:t>
      </w:r>
      <w:r w:rsidRPr="007E7D1E">
        <w:rPr>
          <w:rFonts w:asciiTheme="majorBidi" w:hAnsiTheme="majorBidi" w:cstheme="majorBidi"/>
          <w:sz w:val="28"/>
          <w:szCs w:val="28"/>
        </w:rPr>
        <w:t>light chains also are</w:t>
      </w:r>
      <w:r w:rsidR="007E7D1E" w:rsidRP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 xml:space="preserve">reduced.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C, </w:t>
      </w:r>
      <w:r w:rsidRPr="007E7D1E">
        <w:rPr>
          <w:rFonts w:asciiTheme="majorBidi" w:hAnsiTheme="majorBidi" w:cstheme="majorBidi"/>
          <w:sz w:val="28"/>
          <w:szCs w:val="28"/>
        </w:rPr>
        <w:t>Patient specimen with an IgA (</w:t>
      </w:r>
      <w:r w:rsidRPr="007E7D1E">
        <w:rPr>
          <w:rFonts w:asciiTheme="majorBidi" w:eastAsia="TnQ" w:hAnsiTheme="majorBidi" w:cstheme="majorBidi"/>
          <w:sz w:val="28"/>
          <w:szCs w:val="28"/>
        </w:rPr>
        <w:t>λ</w:t>
      </w:r>
      <w:r w:rsidRPr="007E7D1E">
        <w:rPr>
          <w:rFonts w:asciiTheme="majorBidi" w:hAnsiTheme="majorBidi" w:cstheme="majorBidi"/>
          <w:sz w:val="28"/>
          <w:szCs w:val="28"/>
        </w:rPr>
        <w:t xml:space="preserve">) monoclonal protein identified by the IFE procedure, as described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A. D, </w:t>
      </w:r>
      <w:r w:rsidRPr="007E7D1E">
        <w:rPr>
          <w:rFonts w:asciiTheme="majorBidi" w:hAnsiTheme="majorBidi" w:cstheme="majorBidi"/>
          <w:sz w:val="28"/>
          <w:szCs w:val="28"/>
        </w:rPr>
        <w:t xml:space="preserve">Same specimen as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>C,</w:t>
      </w:r>
    </w:p>
    <w:p w:rsidR="00CC2ED7" w:rsidRPr="007E7D1E" w:rsidRDefault="00CC2ED7" w:rsidP="007E7D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proteins identified by IEP, as described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Pr="007E7D1E">
        <w:rPr>
          <w:rFonts w:asciiTheme="majorBidi" w:hAnsiTheme="majorBidi" w:cstheme="majorBidi"/>
          <w:sz w:val="28"/>
          <w:szCs w:val="28"/>
        </w:rPr>
        <w:t xml:space="preserve">The abnormal IgA and </w:t>
      </w:r>
      <w:r w:rsidRPr="007E7D1E">
        <w:rPr>
          <w:rFonts w:asciiTheme="majorBidi" w:eastAsia="TnQ" w:hAnsiTheme="majorBidi" w:cstheme="majorBidi"/>
          <w:sz w:val="28"/>
          <w:szCs w:val="28"/>
        </w:rPr>
        <w:t xml:space="preserve">λ </w:t>
      </w:r>
      <w:r w:rsidRPr="007E7D1E">
        <w:rPr>
          <w:rFonts w:asciiTheme="majorBidi" w:hAnsiTheme="majorBidi" w:cstheme="majorBidi"/>
          <w:sz w:val="28"/>
          <w:szCs w:val="28"/>
        </w:rPr>
        <w:t xml:space="preserve">arcs for the patient specimen indicate an elevated concentration of </w:t>
      </w:r>
      <w:proofErr w:type="spellStart"/>
      <w:proofErr w:type="gramStart"/>
      <w:r w:rsidRPr="007E7D1E">
        <w:rPr>
          <w:rFonts w:asciiTheme="majorBidi" w:hAnsiTheme="majorBidi" w:cstheme="majorBidi"/>
          <w:sz w:val="28"/>
          <w:szCs w:val="28"/>
        </w:rPr>
        <w:t>amonoclonal</w:t>
      </w:r>
      <w:proofErr w:type="spellEnd"/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 xml:space="preserve"> IgA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(</w:t>
      </w:r>
      <w:r w:rsidRPr="007E7D1E">
        <w:rPr>
          <w:rFonts w:asciiTheme="majorBidi" w:eastAsia="TnQ" w:hAnsiTheme="majorBidi" w:cstheme="majorBidi"/>
          <w:sz w:val="28"/>
          <w:szCs w:val="28"/>
        </w:rPr>
        <w:t>λ</w:t>
      </w:r>
      <w:r w:rsidRPr="007E7D1E">
        <w:rPr>
          <w:rFonts w:asciiTheme="majorBidi" w:hAnsiTheme="majorBidi" w:cstheme="majorBidi"/>
          <w:sz w:val="28"/>
          <w:szCs w:val="28"/>
        </w:rPr>
        <w:t>) protein.</w:t>
      </w:r>
    </w:p>
    <w:p w:rsidR="00D1106E" w:rsidRDefault="00D1106E" w:rsidP="007E7D1E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FFFFFF"/>
          <w:sz w:val="18"/>
          <w:szCs w:val="18"/>
        </w:rPr>
      </w:pPr>
      <w:r>
        <w:rPr>
          <w:rFonts w:ascii="Univers-Bold" w:hAnsi="Univers-Bold" w:cs="Univers-Bold"/>
          <w:b/>
          <w:bCs/>
          <w:color w:val="FFFFFF"/>
          <w:sz w:val="18"/>
          <w:szCs w:val="18"/>
        </w:rPr>
        <w:t xml:space="preserve">Separation Techniques Used in </w:t>
      </w:r>
      <w:proofErr w:type="spellStart"/>
      <w:r>
        <w:rPr>
          <w:rFonts w:ascii="Univers-Bold" w:hAnsi="Univers-Bold" w:cs="Univers-Bold"/>
          <w:b/>
          <w:bCs/>
          <w:color w:val="FFFFFF"/>
          <w:sz w:val="18"/>
          <w:szCs w:val="18"/>
        </w:rPr>
        <w:t>CapillaryElectrophoresis</w:t>
      </w:r>
      <w:proofErr w:type="spellEnd"/>
    </w:p>
    <w:p w:rsidR="00D1106E" w:rsidRPr="007E7D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Capillary Zone Electrophoresis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t>Capillary zone electrophoresis (CZE) is the most widely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used type of CE because of its simplicity and versatility. As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long as a molecule is charged, it can be 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>s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eparated by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CZE.Also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, CZE is simple to perform because the capillary is only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filled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with buffer. Separation occurs as solutes migrate at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different velocities through the capillary. Another advantage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of CZE is that it separates anions 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cations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 the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same run, which is not done in other CE methods.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However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,CZE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cannot separate neutral molecules.</w:t>
      </w:r>
    </w:p>
    <w:p w:rsidR="00D1106E" w:rsidRPr="00D41829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proofErr w:type="spellStart"/>
      <w:r w:rsidRP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Isotachophoresis</w:t>
      </w:r>
      <w:proofErr w:type="spellEnd"/>
      <w:r w:rsid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define or talk about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Isotachophoresis</w:t>
      </w:r>
      <w:proofErr w:type="spellEnd"/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(ITP) is a focusing technique based on the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migration of the sample components between the leading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and terminating electrolytes.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Solutes with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mobilities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intermediate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to those of the leading and terminating electrolytes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stack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into sharp focused zones. Although used as a mode of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separation, transient ITP has been used primarily as a sample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concentration technique.</w:t>
      </w:r>
    </w:p>
    <w:p w:rsidR="00D1106E" w:rsidRPr="00D41829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Capillary Isoelectric Focusing</w:t>
      </w:r>
    </w:p>
    <w:p w:rsidR="00D1106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Capillary isoelectric focusing (CIEF) is a separation method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that allows </w:t>
      </w:r>
      <w:r w:rsidR="00E91A1E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mphoteric molecules, such as proteins, to be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separated by electrophoresis in a pH gradient generated</w:t>
      </w:r>
      <w:r w:rsidR="00E91A1E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between the cathode and anode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. A solute will migrate to a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point at which its net charge is zero. At the solute’s isoelectric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point (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), migration stops, and the sample is focused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into a tight zone. In CIEF, once a solute has focused at its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,the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zone is mobilized past the detector by either pressure or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chemical means. CIEF is often employed in protein characterization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as a mechanism to determine a protein’s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1106E" w:rsidRPr="007E7D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CAPILLARY ELECTROPHORESIS</w:t>
      </w:r>
    </w:p>
    <w:p w:rsidR="00E91A1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In capillary electrophoresis (CE) the classic separation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techniquesof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zone electrophoresis,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isotachophoresis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isoelectric </w:t>
      </w:r>
      <w:proofErr w:type="spellStart"/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focusing</w:t>
      </w:r>
      <w:proofErr w:type="gramStart"/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and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gel electrophoresis are performed in small-bore (10- to 100-μm), fused silica capillary tubes, 20 to 200 cm in length </w:t>
      </w:r>
    </w:p>
    <w:p w:rsidR="00D1106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1A1E">
        <w:rPr>
          <w:rFonts w:asciiTheme="majorBidi" w:hAnsiTheme="majorBidi" w:cstheme="majorBidi"/>
          <w:b/>
          <w:bCs/>
          <w:color w:val="000000"/>
          <w:sz w:val="28"/>
          <w:szCs w:val="28"/>
        </w:rPr>
        <w:t>The CE method is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efficient, sensitive, and rapid. High electrical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field strengths are used to separate molecules based on differences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in charge, size, 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ydrophobicity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. Sample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introductionis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accomplished by immersing the end of the capillary into a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samplevial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and applying pressure, vacuum, or voltage.</w:t>
      </w:r>
    </w:p>
    <w:p w:rsidR="00D1106E" w:rsidRPr="00E91A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E91A1E">
        <w:rPr>
          <w:rFonts w:asciiTheme="majorBidi" w:hAnsiTheme="majorBidi" w:cstheme="majorBidi"/>
          <w:b/>
          <w:bCs/>
          <w:color w:val="000000"/>
        </w:rPr>
        <w:t xml:space="preserve">Table2: </w:t>
      </w:r>
      <w:r w:rsidRPr="00E91A1E">
        <w:rPr>
          <w:rFonts w:asciiTheme="majorBidi" w:hAnsiTheme="majorBidi" w:cstheme="majorBidi"/>
          <w:b/>
          <w:bCs/>
        </w:rPr>
        <w:t>Comparison of Traditional Capillary Electrophoresis and Microchip Capillary Electrophoresis</w:t>
      </w:r>
    </w:p>
    <w:p w:rsidR="00D13391" w:rsidRPr="007E7D1E" w:rsidRDefault="00D1106E" w:rsidP="00D1106E">
      <w:pPr>
        <w:rPr>
          <w:rFonts w:asciiTheme="majorBidi" w:hAnsiTheme="majorBidi" w:cstheme="majorBidi"/>
          <w:sz w:val="28"/>
          <w:szCs w:val="28"/>
        </w:rPr>
      </w:pPr>
      <w:r w:rsidRPr="007E7D1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8A7C554" wp14:editId="1749EE67">
            <wp:extent cx="5943600" cy="1462665"/>
            <wp:effectExtent l="0" t="0" r="0" b="4445"/>
            <wp:docPr id="3" name="Picture 3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C9" w:rsidRPr="007E7D1E" w:rsidRDefault="000E11C9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E7D1E">
        <w:rPr>
          <w:rFonts w:asciiTheme="majorBidi" w:hAnsiTheme="majorBidi" w:cstheme="majorBidi"/>
          <w:sz w:val="28"/>
          <w:szCs w:val="28"/>
        </w:rPr>
        <w:t>Microchip CE was developed in the early 1990s. The advantages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of microchip CE include high speed, reduced reagent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consumption, integration analysis, and miniaturization. The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applications of microchip CE are diverse and include immune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disorders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>.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Conventional CE revolutionized DNA analysis and was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vital to the Human Genome Project. Microchip CE is still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the early stages of development but has demonstrated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distinct advantages compared with traditional 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CE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gramEnd"/>
      <w:r w:rsidR="00E91A1E">
        <w:rPr>
          <w:rFonts w:asciiTheme="majorBidi" w:hAnsiTheme="majorBidi" w:cstheme="majorBidi"/>
          <w:color w:val="000000"/>
          <w:sz w:val="28"/>
          <w:szCs w:val="28"/>
        </w:rPr>
        <w:t>table2)</w:t>
      </w:r>
    </w:p>
    <w:p w:rsidR="000E11C9" w:rsidRPr="007E7D1E" w:rsidRDefault="000E11C9" w:rsidP="000E11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Principle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is intended for the identification of monoclonal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serum, urine, or CSF using high-resolution protein electrophoresis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immunofixation.In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the first step of the IFE procedure, a single specimen is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applied to six different positions on an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plate and the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proteins are separated according to their net charge by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electrophoresis.In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the second phase,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monospecific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antisera are applied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to five of the electrophoresis patterns: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IgG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IgA,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and </w:t>
      </w:r>
      <w:r w:rsidRPr="007E7D1E">
        <w:rPr>
          <w:rFonts w:asciiTheme="majorBidi" w:eastAsia="TnQ" w:hAnsiTheme="majorBidi" w:cstheme="majorBidi"/>
          <w:color w:val="000000"/>
          <w:sz w:val="28"/>
          <w:szCs w:val="28"/>
        </w:rPr>
        <w:t>κ</w:t>
      </w:r>
      <w:r w:rsidR="00842780">
        <w:rPr>
          <w:rFonts w:asciiTheme="majorBidi" w:eastAsia="TnQ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7E7D1E">
        <w:rPr>
          <w:rFonts w:asciiTheme="majorBidi" w:eastAsia="TnQ" w:hAnsiTheme="majorBidi" w:cstheme="majorBidi"/>
          <w:color w:val="000000"/>
          <w:sz w:val="28"/>
          <w:szCs w:val="28"/>
        </w:rPr>
        <w:t xml:space="preserve">γ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antisera. A protein fixative solution is applied to the sixth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pattern to produce a complete protein reference pattern. The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plate is incubated for 10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minutes.If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complementary antigen is present in the proper proportions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the test sample, antigen-antibody complexes form and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precipitate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>. The formation of a stable antigen-antibody precipitate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fixes the protein in the gel. After fixation, the gel is washed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deproteinization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solution (e.g., dilute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NaCl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) 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nonprecipitated</w:t>
      </w:r>
      <w:proofErr w:type="spellEnd"/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proteins are washed out of the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, leaving only the</w:t>
      </w:r>
    </w:p>
    <w:p w:rsidR="00842780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antigen-antibody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complex. The protein reference pattern and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the antigen-antibody precipitation bands are stained with a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protein-sensitive stain.</w:t>
      </w:r>
    </w:p>
    <w:p w:rsidR="00842780" w:rsidRDefault="00842780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842780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42780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Western blot technique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proteins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are separated</w:t>
      </w:r>
      <w:r w:rsidR="00CE27A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electrophoretically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, transferred to membranes, and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identified through the use of labeled antibodies specific for the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protein of interest (</w:t>
      </w:r>
      <w:r w:rsidRPr="007E7D1E">
        <w:rPr>
          <w:rFonts w:asciiTheme="majorBidi" w:hAnsiTheme="majorBidi" w:cstheme="majorBidi"/>
          <w:color w:val="000069"/>
          <w:sz w:val="28"/>
          <w:szCs w:val="28"/>
        </w:rPr>
        <w:t xml:space="preserve">Fig. </w:t>
      </w:r>
      <w:r w:rsidR="00842780">
        <w:rPr>
          <w:rFonts w:asciiTheme="majorBidi" w:hAnsiTheme="majorBidi" w:cstheme="majorBidi"/>
          <w:color w:val="000069"/>
          <w:sz w:val="28"/>
          <w:szCs w:val="28"/>
        </w:rPr>
        <w:t>3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Western blot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: technique detects antibodies to specific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epitopes of antigen subspecies. Electrophoresis of antigenic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material results in the separation of the antigen components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by molecular weight (MW). Blotting the separated antigen to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CE27AB">
        <w:rPr>
          <w:rFonts w:asciiTheme="majorBidi" w:hAnsiTheme="majorBidi" w:cstheme="majorBidi"/>
          <w:color w:val="000000"/>
          <w:sz w:val="28"/>
          <w:szCs w:val="28"/>
          <w:highlight w:val="yellow"/>
        </w:rPr>
        <w:t>nitrocellulose</w:t>
      </w:r>
      <w:proofErr w:type="gramEnd"/>
      <w:r w:rsidRPr="00CE27AB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retaining the electrophoretic position, and causing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it to react with patient specimen will result in the binding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of specific antibodies, if present, to each antigenic band. Electrophoresis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of known MW standards allows for the determination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of the MW of each antigenic band to which antibodies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may be produced. These antibodies are then detected using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EIA reactions that characterize antibody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specificity.The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Western blot technique is often used to confirm the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specificity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of antibodies detected by enzyme-linked </w:t>
      </w:r>
      <w:proofErr w:type="spellStart"/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immunosorbent</w:t>
      </w:r>
      <w:proofErr w:type="spellEnd"/>
      <w:r w:rsidR="0084278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assay (ELISA) screening procedures.</w:t>
      </w:r>
    </w:p>
    <w:p w:rsidR="00794843" w:rsidRPr="007E7D1E" w:rsidRDefault="00794843" w:rsidP="00B321DB">
      <w:pPr>
        <w:rPr>
          <w:rFonts w:asciiTheme="majorBidi" w:hAnsiTheme="majorBidi" w:cstheme="majorBidi"/>
          <w:sz w:val="28"/>
          <w:szCs w:val="28"/>
        </w:rPr>
      </w:pPr>
    </w:p>
    <w:p w:rsidR="00794843" w:rsidRPr="00D13391" w:rsidRDefault="00794843" w:rsidP="00B321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022382" cy="4720107"/>
            <wp:effectExtent l="0" t="0" r="0" b="4445"/>
            <wp:docPr id="4" name="Picture 4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82" cy="47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43" w:rsidRDefault="00794843">
      <w:pPr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Fig3:</w:t>
      </w:r>
      <w:r w:rsidRPr="00794843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Western blot immunoassay</w:t>
      </w:r>
    </w:p>
    <w:p w:rsidR="00D96AA5" w:rsidRPr="00D96AA5" w:rsidRDefault="00D96AA5" w:rsidP="00D96A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Direct and Indirect Methods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t xml:space="preserve">Direct detection uses a labeled primary antibody. Because incubation with a secondary antibody is eliminated, this strategy is performed in less time than a classical Western blot. Additionally, background signal from secondary antibody cross reactivity is eliminated. Direct detection also enables probing for multiple targets simultaneously. Labeling a primary antibody, however, sometimes has an adverse effect on its immune reactivity, and even in the best of circumstances, a labeled primary antibody cannot provide signal </w:t>
      </w:r>
      <w:r w:rsidR="00A8761A">
        <w:rPr>
          <w:rFonts w:asciiTheme="majorBidi" w:hAnsiTheme="majorBidi" w:cstheme="majorBidi"/>
          <w:sz w:val="28"/>
          <w:szCs w:val="28"/>
        </w:rPr>
        <w:t>a</w:t>
      </w:r>
      <w:r w:rsidRPr="00D96AA5">
        <w:rPr>
          <w:rFonts w:asciiTheme="majorBidi" w:hAnsiTheme="majorBidi" w:cstheme="majorBidi"/>
          <w:sz w:val="28"/>
          <w:szCs w:val="28"/>
        </w:rPr>
        <w:t xml:space="preserve">mplification. Consequently, the direct method is generally less sensitive than indirect detection and is best used only when the target is relatively abundant. One option is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biotinylating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the primary antibody, which is an indirect method that both amplifies the signal and eliminates the secondary antibody. Labeling with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96AA5">
        <w:rPr>
          <w:rFonts w:asciiTheme="majorBidi" w:hAnsiTheme="majorBidi" w:cstheme="majorBidi"/>
          <w:sz w:val="28"/>
          <w:szCs w:val="28"/>
        </w:rPr>
        <w:t>biotinylation</w:t>
      </w:r>
      <w:proofErr w:type="spellEnd"/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reagents typically results in more than one biotin moiety per  antibody molecule. Each biotin moiety is capable of interacting with an enzyme-conjugated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avidin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streptavidin or Thermo Scientific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Neutr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Avidin</w:t>
      </w:r>
      <w:proofErr w:type="spellEnd"/>
      <w:r w:rsidRPr="00D96AA5">
        <w:rPr>
          <w:rFonts w:asciiTheme="majorBidi" w:eastAsia="SymbolMT" w:hAnsiTheme="majorBidi" w:cstheme="majorBidi"/>
          <w:sz w:val="28"/>
          <w:szCs w:val="28"/>
        </w:rPr>
        <w:t xml:space="preserve"> </w:t>
      </w:r>
      <w:r w:rsidRPr="00D96AA5">
        <w:rPr>
          <w:rFonts w:asciiTheme="majorBidi" w:hAnsiTheme="majorBidi" w:cstheme="majorBidi"/>
          <w:sz w:val="28"/>
          <w:szCs w:val="28"/>
        </w:rPr>
        <w:t xml:space="preserve">Protein. These multiple enzymes catalyze the conversion of appropriate substrate to amplify the signal. Essentially, the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avidin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conjugate replaces a secondary antibody and its appropriate molar concentration is the same as if a secondary antibody were used.</w:t>
      </w:r>
    </w:p>
    <w:p w:rsidR="00D96AA5" w:rsidRPr="00D96AA5" w:rsidRDefault="00D96AA5" w:rsidP="00D96A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Blocking buffer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 xml:space="preserve">Many different blocking reagents are available for Western blotting. Because no blocking reagent is appropriate for all systems, empirical testing is essential. 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="TimesNewRoman" w:hAnsi="TimesNewRoman" w:cs="TimesNewRoman"/>
          <w:sz w:val="28"/>
          <w:szCs w:val="28"/>
        </w:rPr>
        <w:t>The system’s antibodies or target.</w:t>
      </w:r>
      <w:proofErr w:type="gramEnd"/>
      <w:r w:rsidRPr="00D96AA5">
        <w:rPr>
          <w:rFonts w:ascii="TimesNewRoman" w:hAnsi="TimesNewRoman" w:cs="TimesNewRoman"/>
          <w:sz w:val="28"/>
          <w:szCs w:val="28"/>
        </w:rPr>
        <w:t xml:space="preserve"> For example, using 5%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non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fat</w:t>
      </w:r>
      <w:proofErr w:type="spellEnd"/>
      <w:r w:rsidRPr="00D96AA5">
        <w:rPr>
          <w:rFonts w:ascii="TimesNewRoman" w:hAnsi="TimesNewRoman" w:cs="TimesNewRoman"/>
          <w:sz w:val="28"/>
          <w:szCs w:val="28"/>
        </w:rPr>
        <w:t xml:space="preserve"> milk as a blocking reagent when using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avidin</w:t>
      </w:r>
      <w:proofErr w:type="spellEnd"/>
      <w:r w:rsidRPr="00D96AA5">
        <w:rPr>
          <w:rFonts w:ascii="TimesNewRoman" w:hAnsi="TimesNewRoman" w:cs="TimesNewRoman"/>
          <w:sz w:val="28"/>
          <w:szCs w:val="28"/>
        </w:rPr>
        <w:t>/biotin systems results in high background because milk contains variable amounts of endogenous biotin, which binds the a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vidin</w:t>
      </w:r>
      <w:proofErr w:type="spellEnd"/>
      <w:r w:rsidRPr="00D96AA5">
        <w:rPr>
          <w:rFonts w:ascii="TimesNewRoman" w:hAnsi="TimesNewRoman" w:cs="TimesNewRoman"/>
          <w:sz w:val="28"/>
          <w:szCs w:val="28"/>
        </w:rPr>
        <w:t xml:space="preserve">. 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Western Blotting Protocol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t>1. Separate the proteins in the sample by gel</w:t>
      </w:r>
      <w:r w:rsidR="00A8761A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electrophoresis.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t xml:space="preserve">2. Prepare the transfer buffer: Use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Tris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-glycine transfer buffer dissolved in 400 ml of ultrapure water plus 100 ml methanol (25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mM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Tris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192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mM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glycine, pH 8.0, 20% methanol). Use and store the transfer buffer at 4</w:t>
      </w:r>
      <w:r w:rsidRPr="00D96AA5">
        <w:rPr>
          <w:rFonts w:asciiTheme="majorBidi" w:eastAsia="SymbolMT" w:hAnsiTheme="majorBidi" w:cstheme="majorBidi"/>
          <w:sz w:val="28"/>
          <w:szCs w:val="28"/>
        </w:rPr>
        <w:t>°</w:t>
      </w:r>
      <w:r w:rsidRPr="00D96AA5">
        <w:rPr>
          <w:rFonts w:asciiTheme="majorBidi" w:hAnsiTheme="majorBidi" w:cstheme="majorBidi"/>
          <w:sz w:val="28"/>
          <w:szCs w:val="28"/>
        </w:rPr>
        <w:t>C.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t>3. Construct a gel “sandwich” (Figure 3) for</w:t>
      </w:r>
      <w:r w:rsidR="00CE27AB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wet transfer. For semi-dry transfer, prepare the sandwich in the same order between the anode and cathode.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lastRenderedPageBreak/>
        <w:t>4. Transfer proteins from the gel to a</w:t>
      </w:r>
      <w:r w:rsidR="00CE27AB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membrane. For wet transfer using a mini</w:t>
      </w:r>
      <w:r w:rsidR="00A8761A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transfer apparatus designed for a 8 </w:t>
      </w:r>
      <w:r w:rsidRPr="00D96AA5">
        <w:rPr>
          <w:rFonts w:asciiTheme="majorBidi" w:eastAsia="SymbolMT" w:hAnsiTheme="majorBidi" w:cstheme="majorBidi"/>
          <w:sz w:val="28"/>
          <w:szCs w:val="28"/>
        </w:rPr>
        <w:t xml:space="preserve">× </w:t>
      </w:r>
      <w:r w:rsidRPr="00D96AA5">
        <w:rPr>
          <w:rFonts w:asciiTheme="majorBidi" w:hAnsiTheme="majorBidi" w:cstheme="majorBidi"/>
          <w:sz w:val="28"/>
          <w:szCs w:val="28"/>
        </w:rPr>
        <w:t>10 cm gel, transfer at 40 V for 90minutes keeping the buffer temperature at 4</w:t>
      </w:r>
      <w:r w:rsidRPr="00D96AA5">
        <w:rPr>
          <w:rFonts w:asciiTheme="majorBidi" w:eastAsia="SymbolMT" w:hAnsiTheme="majorBidi" w:cstheme="majorBidi"/>
          <w:sz w:val="28"/>
          <w:szCs w:val="28"/>
        </w:rPr>
        <w:t>°</w:t>
      </w:r>
      <w:r w:rsidRPr="00D96AA5">
        <w:rPr>
          <w:rFonts w:asciiTheme="majorBidi" w:hAnsiTheme="majorBidi" w:cstheme="majorBidi"/>
          <w:sz w:val="28"/>
          <w:szCs w:val="28"/>
        </w:rPr>
        <w:t>C. For semi-dry</w:t>
      </w:r>
      <w:r w:rsidR="00CE27AB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transfer use 15 V for 90 minutes.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sz w:val="28"/>
          <w:szCs w:val="28"/>
        </w:rPr>
        <w:t>5. Remove the membrane and block nonspecific binding sites with a blocking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sz w:val="28"/>
          <w:szCs w:val="28"/>
        </w:rPr>
        <w:t>buffer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for 20-60 minutes at room temperature (RT) with shaking.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96AA5">
        <w:rPr>
          <w:rFonts w:asciiTheme="majorBidi" w:hAnsiTheme="majorBidi" w:cstheme="majorBidi"/>
          <w:sz w:val="28"/>
          <w:szCs w:val="28"/>
        </w:rPr>
        <w:t xml:space="preserve">6. Incubate the blot with the primary antibody solution (see Table 2) containing 10%blocking solution with rocking for 1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hour.If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desired, incubate the blot overnight a</w:t>
      </w:r>
      <w:r w:rsidRPr="00D96AA5">
        <w:rPr>
          <w:rFonts w:ascii="TimesNewRoman" w:hAnsi="TimesNewRoman" w:cs="TimesNewRoman"/>
          <w:sz w:val="20"/>
          <w:szCs w:val="20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2-8°C. 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 xml:space="preserve">7. Wash the membrane three times for 5 minutes each with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Tris</w:t>
      </w:r>
      <w:proofErr w:type="spellEnd"/>
      <w:r w:rsidRPr="00D96AA5">
        <w:rPr>
          <w:rFonts w:ascii="TimesNewRoman" w:hAnsi="TimesNewRoman" w:cs="TimesNewRoman"/>
          <w:sz w:val="28"/>
          <w:szCs w:val="28"/>
        </w:rPr>
        <w:t>-buffered saline (TBS), phosphate-buffered saline (PBS) or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other physiological wash buffer containing 0.05% Tween-20. If using an enzyme-conjugated primary antibody, proceed to Step 10.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96AA5">
        <w:rPr>
          <w:rFonts w:ascii="TimesNewRoman" w:hAnsi="TimesNewRoman" w:cs="TimesNewRoman"/>
          <w:sz w:val="28"/>
          <w:szCs w:val="28"/>
        </w:rPr>
        <w:t>8. Incubate blot with the enzyme conjugate (see Table 3) containing 10% blocking solution for 1 hour with rocking at RT.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 xml:space="preserve">9. Wash the membrane five times for 5 minutes each in wash buffer to remove any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non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bound</w:t>
      </w:r>
      <w:proofErr w:type="spellEnd"/>
      <w:r w:rsidRPr="00D96AA5">
        <w:rPr>
          <w:rFonts w:ascii="TimesNewRoman" w:hAnsi="TimesNewRoman" w:cs="TimesNewRoman"/>
          <w:sz w:val="28"/>
          <w:szCs w:val="28"/>
        </w:rPr>
        <w:t xml:space="preserve"> conjugate. It is crucial to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thoroughly wash the membrane after incubation with the enzyme conjugate.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>10. Prepare the substrate. Use a sufficient volume to ensure that the blot is completely wetted with substrate and the blot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proofErr w:type="gramStart"/>
      <w:r w:rsidRPr="00D96AA5">
        <w:rPr>
          <w:rFonts w:ascii="TimesNewRoman" w:hAnsi="TimesNewRoman" w:cs="TimesNewRoman"/>
          <w:sz w:val="28"/>
          <w:szCs w:val="28"/>
        </w:rPr>
        <w:t>does</w:t>
      </w:r>
      <w:proofErr w:type="gramEnd"/>
      <w:r w:rsidRPr="00D96AA5">
        <w:rPr>
          <w:rFonts w:ascii="TimesNewRoman" w:hAnsi="TimesNewRoman" w:cs="TimesNewRoman"/>
          <w:sz w:val="28"/>
          <w:szCs w:val="28"/>
        </w:rPr>
        <w:t xml:space="preserve"> not become dry (0.1 ml/cm2).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>11. Incubate the blot with substrate for 1 minute when using Pierce ECL or 5 minutes when using Super</w:t>
      </w:r>
      <w:r w:rsidR="00CE27AB">
        <w:rPr>
          <w:rFonts w:ascii="TimesNewRoman" w:hAnsi="TimesNewRoman" w:cs="TimesNewRoman"/>
          <w:sz w:val="28"/>
          <w:szCs w:val="28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Signal Substrates.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96AA5">
        <w:rPr>
          <w:rFonts w:ascii="TimesNewRoman" w:hAnsi="TimesNewRoman" w:cs="TimesNewRoman"/>
          <w:sz w:val="28"/>
          <w:szCs w:val="28"/>
        </w:rPr>
        <w:t xml:space="preserve">12. Remove the blot from the substrate and place it in a plastic membrane protector. A plastic sheet protector works </w:t>
      </w:r>
      <w:proofErr w:type="spellStart"/>
      <w:r w:rsidRPr="00D96AA5">
        <w:rPr>
          <w:rFonts w:ascii="TimesNewRoman" w:hAnsi="TimesNewRoman" w:cs="TimesNewRoman"/>
          <w:sz w:val="28"/>
          <w:szCs w:val="28"/>
        </w:rPr>
        <w:t>well</w:t>
      </w:r>
      <w:proofErr w:type="gramStart"/>
      <w:r w:rsidRPr="00D96AA5">
        <w:rPr>
          <w:rFonts w:ascii="TimesNewRoman" w:hAnsi="TimesNewRoman" w:cs="TimesNewRoman"/>
          <w:sz w:val="28"/>
          <w:szCs w:val="28"/>
        </w:rPr>
        <w:t>,although</w:t>
      </w:r>
      <w:proofErr w:type="spellEnd"/>
      <w:proofErr w:type="gramEnd"/>
      <w:r w:rsidRPr="00D96AA5">
        <w:rPr>
          <w:rFonts w:ascii="TimesNewRoman" w:hAnsi="TimesNewRoman" w:cs="TimesNewRoman"/>
          <w:sz w:val="28"/>
          <w:szCs w:val="28"/>
        </w:rPr>
        <w:t xml:space="preserve"> plastic wrap also may be used. Remove all air bubbles between the blot and the surface of the membrane</w:t>
      </w:r>
      <w:r w:rsidRPr="00D96AA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96AA5">
        <w:rPr>
          <w:rFonts w:ascii="TimesNewRoman" w:hAnsi="TimesNewRoman" w:cs="TimesNewRoman"/>
          <w:sz w:val="28"/>
          <w:szCs w:val="28"/>
        </w:rPr>
        <w:t>protector.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96AA5">
        <w:rPr>
          <w:rFonts w:ascii="TimesNewRoman" w:hAnsi="TimesNewRoman" w:cs="TimesNewRoman"/>
          <w:sz w:val="28"/>
          <w:szCs w:val="28"/>
        </w:rPr>
        <w:t>13. Image the blot using film or a cooled CCD camera</w:t>
      </w:r>
      <w:r w:rsidRPr="00D96AA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D96AA5" w:rsidRPr="00D13391" w:rsidRDefault="00D96AA5">
      <w:pPr>
        <w:rPr>
          <w:rFonts w:asciiTheme="majorBidi" w:hAnsiTheme="majorBidi" w:cstheme="majorBidi"/>
          <w:sz w:val="28"/>
          <w:szCs w:val="28"/>
        </w:rPr>
      </w:pPr>
    </w:p>
    <w:sectPr w:rsidR="00D96AA5" w:rsidRPr="00D1339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15" w:rsidRDefault="00B45015" w:rsidP="004E5924">
      <w:pPr>
        <w:spacing w:after="0" w:line="240" w:lineRule="auto"/>
      </w:pPr>
      <w:r>
        <w:separator/>
      </w:r>
    </w:p>
  </w:endnote>
  <w:endnote w:type="continuationSeparator" w:id="0">
    <w:p w:rsidR="00B45015" w:rsidRDefault="00B45015" w:rsidP="004E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Q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26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924" w:rsidRDefault="004E5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924" w:rsidRDefault="004E5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15" w:rsidRDefault="00B45015" w:rsidP="004E5924">
      <w:pPr>
        <w:spacing w:after="0" w:line="240" w:lineRule="auto"/>
      </w:pPr>
      <w:r>
        <w:separator/>
      </w:r>
    </w:p>
  </w:footnote>
  <w:footnote w:type="continuationSeparator" w:id="0">
    <w:p w:rsidR="00B45015" w:rsidRDefault="00B45015" w:rsidP="004E5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69"/>
    <w:rsid w:val="000E11C9"/>
    <w:rsid w:val="004E5924"/>
    <w:rsid w:val="00567FFA"/>
    <w:rsid w:val="00794843"/>
    <w:rsid w:val="007E7D1E"/>
    <w:rsid w:val="00842780"/>
    <w:rsid w:val="009F4169"/>
    <w:rsid w:val="00A727EB"/>
    <w:rsid w:val="00A8761A"/>
    <w:rsid w:val="00AA78B7"/>
    <w:rsid w:val="00B321DB"/>
    <w:rsid w:val="00B3412C"/>
    <w:rsid w:val="00B45015"/>
    <w:rsid w:val="00C65687"/>
    <w:rsid w:val="00CC2C41"/>
    <w:rsid w:val="00CC2ED7"/>
    <w:rsid w:val="00CE27AB"/>
    <w:rsid w:val="00D1106E"/>
    <w:rsid w:val="00D13391"/>
    <w:rsid w:val="00D41829"/>
    <w:rsid w:val="00D96AA5"/>
    <w:rsid w:val="00DF6CBF"/>
    <w:rsid w:val="00E022CE"/>
    <w:rsid w:val="00E70872"/>
    <w:rsid w:val="00E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24"/>
  </w:style>
  <w:style w:type="paragraph" w:styleId="Footer">
    <w:name w:val="footer"/>
    <w:basedOn w:val="Normal"/>
    <w:link w:val="Foot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24"/>
  </w:style>
  <w:style w:type="paragraph" w:styleId="Footer">
    <w:name w:val="footer"/>
    <w:basedOn w:val="Normal"/>
    <w:link w:val="Foot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78A3-CC83-43F3-8420-D0A0912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2020-05-18T20:42:00Z</dcterms:created>
  <dcterms:modified xsi:type="dcterms:W3CDTF">2021-05-08T20:19:00Z</dcterms:modified>
</cp:coreProperties>
</file>