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FD" w:rsidRPr="000160D4" w:rsidRDefault="00FC05FD" w:rsidP="00FC05FD">
      <w:pPr>
        <w:jc w:val="center"/>
        <w:rPr>
          <w:rFonts w:asciiTheme="majorBidi" w:hAnsiTheme="majorBidi" w:cstheme="majorBidi"/>
          <w:b/>
          <w:bCs/>
          <w:i/>
          <w:iCs/>
          <w:sz w:val="32"/>
          <w:szCs w:val="32"/>
          <w:lang w:bidi="ar-IQ"/>
        </w:rPr>
      </w:pPr>
      <w:r w:rsidRPr="000160D4">
        <w:rPr>
          <w:rFonts w:asciiTheme="majorBidi" w:hAnsiTheme="majorBidi" w:cstheme="majorBidi"/>
          <w:b/>
          <w:bCs/>
          <w:i/>
          <w:iCs/>
          <w:sz w:val="32"/>
          <w:szCs w:val="32"/>
          <w:lang w:bidi="ar-IQ"/>
        </w:rPr>
        <w:t>Lec.</w:t>
      </w:r>
      <w:r>
        <w:rPr>
          <w:rFonts w:asciiTheme="majorBidi" w:hAnsiTheme="majorBidi" w:cstheme="majorBidi"/>
          <w:b/>
          <w:bCs/>
          <w:i/>
          <w:iCs/>
          <w:sz w:val="32"/>
          <w:szCs w:val="32"/>
          <w:lang w:bidi="ar-IQ"/>
        </w:rPr>
        <w:t>13</w:t>
      </w:r>
      <w:r w:rsidRPr="000160D4">
        <w:rPr>
          <w:rFonts w:asciiTheme="majorBidi" w:hAnsiTheme="majorBidi" w:cstheme="majorBidi"/>
          <w:b/>
          <w:bCs/>
          <w:i/>
          <w:iCs/>
          <w:sz w:val="32"/>
          <w:szCs w:val="32"/>
          <w:lang w:bidi="ar-IQ"/>
        </w:rPr>
        <w:t>: Bioseparation Technique</w:t>
      </w:r>
    </w:p>
    <w:p w:rsidR="00FC05FD" w:rsidRDefault="00FC05FD" w:rsidP="00FC05FD">
      <w:pPr>
        <w:jc w:val="center"/>
        <w:rPr>
          <w:rFonts w:asciiTheme="majorBidi" w:hAnsiTheme="majorBidi" w:cstheme="majorBidi"/>
          <w:b/>
          <w:bCs/>
          <w:sz w:val="32"/>
          <w:szCs w:val="32"/>
          <w:lang w:bidi="ar-IQ"/>
        </w:rPr>
      </w:pPr>
      <w:bookmarkStart w:id="0" w:name="_GoBack"/>
      <w:bookmarkEnd w:id="0"/>
      <w:r w:rsidRPr="000160D4">
        <w:rPr>
          <w:rFonts w:asciiTheme="majorBidi" w:hAnsiTheme="majorBidi" w:cstheme="majorBidi"/>
          <w:b/>
          <w:bCs/>
          <w:sz w:val="32"/>
          <w:szCs w:val="32"/>
          <w:lang w:bidi="ar-IQ"/>
        </w:rPr>
        <w:t>Affinity chromatography</w:t>
      </w:r>
      <w:r w:rsidRPr="00061EDC">
        <w:rPr>
          <w:rFonts w:asciiTheme="majorBidi" w:hAnsiTheme="majorBidi" w:cstheme="majorBidi"/>
          <w:b/>
          <w:bCs/>
          <w:sz w:val="32"/>
          <w:szCs w:val="32"/>
          <w:lang w:bidi="ar-IQ"/>
        </w:rPr>
        <w:t xml:space="preserve"> </w:t>
      </w:r>
      <w:r>
        <w:rPr>
          <w:rFonts w:asciiTheme="majorBidi" w:hAnsiTheme="majorBidi" w:cstheme="majorBidi"/>
          <w:b/>
          <w:bCs/>
          <w:sz w:val="32"/>
          <w:szCs w:val="32"/>
          <w:lang w:bidi="ar-IQ"/>
        </w:rPr>
        <w:t>composition</w:t>
      </w:r>
    </w:p>
    <w:p w:rsidR="00FC05FD" w:rsidRPr="000160D4" w:rsidRDefault="00FC05FD" w:rsidP="00FC05FD">
      <w:pPr>
        <w:rPr>
          <w:rFonts w:asciiTheme="majorBidi" w:hAnsiTheme="majorBidi" w:cstheme="majorBidi"/>
          <w:b/>
          <w:bCs/>
          <w:i/>
          <w:iCs/>
          <w:sz w:val="32"/>
          <w:szCs w:val="32"/>
          <w:u w:val="single"/>
          <w:lang w:bidi="ar-IQ"/>
        </w:rPr>
      </w:pPr>
      <w:r w:rsidRPr="000160D4">
        <w:rPr>
          <w:rFonts w:asciiTheme="majorBidi" w:hAnsiTheme="majorBidi" w:cstheme="majorBidi"/>
          <w:b/>
          <w:bCs/>
          <w:i/>
          <w:iCs/>
          <w:sz w:val="32"/>
          <w:szCs w:val="32"/>
          <w:u w:val="single"/>
          <w:lang w:bidi="ar-IQ"/>
        </w:rPr>
        <w:t>Lectin:</w:t>
      </w:r>
    </w:p>
    <w:p w:rsidR="00FC05FD" w:rsidRPr="000160D4" w:rsidRDefault="00FC05FD" w:rsidP="00FC05FD">
      <w:pPr>
        <w:jc w:val="both"/>
        <w:rPr>
          <w:rFonts w:asciiTheme="majorBidi" w:hAnsiTheme="majorBidi" w:cstheme="majorBidi"/>
          <w:b/>
          <w:bCs/>
          <w:sz w:val="32"/>
          <w:szCs w:val="32"/>
          <w:shd w:val="clear" w:color="auto" w:fill="FFFFFF"/>
        </w:rPr>
      </w:pPr>
      <w:r w:rsidRPr="000160D4">
        <w:rPr>
          <w:rFonts w:asciiTheme="majorBidi" w:hAnsiTheme="majorBidi" w:cstheme="majorBidi"/>
          <w:b/>
          <w:bCs/>
          <w:sz w:val="32"/>
          <w:szCs w:val="32"/>
          <w:lang w:bidi="ar-IQ"/>
        </w:rPr>
        <w:t xml:space="preserve">Lectins are carbohydrate-binding proteins, macromolecules that are highly specific for sugar moieties. </w:t>
      </w:r>
      <w:r w:rsidRPr="000160D4">
        <w:rPr>
          <w:rFonts w:asciiTheme="majorBidi" w:hAnsiTheme="majorBidi" w:cstheme="majorBidi"/>
          <w:b/>
          <w:bCs/>
          <w:sz w:val="32"/>
          <w:szCs w:val="32"/>
          <w:shd w:val="clear" w:color="auto" w:fill="FFFFFF"/>
        </w:rPr>
        <w:t>Lectin affinity chromatography is forms of affinity chromatography where </w:t>
      </w:r>
      <w:hyperlink r:id="rId6" w:tooltip="Lectin" w:history="1">
        <w:r w:rsidRPr="000160D4">
          <w:rPr>
            <w:rFonts w:asciiTheme="majorBidi" w:hAnsiTheme="majorBidi" w:cstheme="majorBidi"/>
            <w:b/>
            <w:bCs/>
            <w:sz w:val="32"/>
            <w:szCs w:val="32"/>
            <w:shd w:val="clear" w:color="auto" w:fill="FFFFFF"/>
          </w:rPr>
          <w:t>lectins</w:t>
        </w:r>
      </w:hyperlink>
      <w:r w:rsidRPr="000160D4">
        <w:rPr>
          <w:rFonts w:asciiTheme="majorBidi" w:hAnsiTheme="majorBidi" w:cstheme="majorBidi"/>
          <w:b/>
          <w:bCs/>
          <w:sz w:val="32"/>
          <w:szCs w:val="32"/>
          <w:shd w:val="clear" w:color="auto" w:fill="FFFFFF"/>
        </w:rPr>
        <w:t> are used to separate components within the sample,Lectins, such as </w:t>
      </w:r>
      <w:hyperlink r:id="rId7" w:tooltip="Concanavalin A" w:history="1">
        <w:r w:rsidRPr="000160D4">
          <w:rPr>
            <w:rFonts w:asciiTheme="majorBidi" w:hAnsiTheme="majorBidi" w:cstheme="majorBidi"/>
            <w:b/>
            <w:bCs/>
            <w:sz w:val="32"/>
            <w:szCs w:val="32"/>
            <w:shd w:val="clear" w:color="auto" w:fill="FFFFFF"/>
          </w:rPr>
          <w:t>concanavalin A</w:t>
        </w:r>
      </w:hyperlink>
      <w:r w:rsidRPr="000160D4">
        <w:rPr>
          <w:rFonts w:asciiTheme="majorBidi" w:hAnsiTheme="majorBidi" w:cstheme="majorBidi"/>
          <w:b/>
          <w:bCs/>
          <w:sz w:val="32"/>
          <w:szCs w:val="32"/>
          <w:shd w:val="clear" w:color="auto" w:fill="FFFFFF"/>
        </w:rPr>
        <w:t> are proteins which can bind specific alpha-D-mannose and alpha-D-glucose carbohydrate molecules, the most common application is to separate </w:t>
      </w:r>
      <w:hyperlink r:id="rId8" w:tooltip="Glycoprotein" w:history="1">
        <w:r w:rsidRPr="000160D4">
          <w:rPr>
            <w:rFonts w:asciiTheme="majorBidi" w:hAnsiTheme="majorBidi" w:cstheme="majorBidi"/>
            <w:b/>
            <w:bCs/>
            <w:sz w:val="32"/>
            <w:szCs w:val="32"/>
            <w:shd w:val="clear" w:color="auto" w:fill="FFFFFF"/>
          </w:rPr>
          <w:t>glycoproteins</w:t>
        </w:r>
      </w:hyperlink>
      <w:r w:rsidRPr="000160D4">
        <w:rPr>
          <w:rFonts w:asciiTheme="majorBidi" w:hAnsiTheme="majorBidi" w:cstheme="majorBidi"/>
          <w:b/>
          <w:bCs/>
          <w:sz w:val="32"/>
          <w:szCs w:val="32"/>
          <w:shd w:val="clear" w:color="auto" w:fill="FFFFFF"/>
        </w:rPr>
        <w:t> from non-glycosylated proteins.</w:t>
      </w:r>
      <w:r>
        <w:rPr>
          <w:rFonts w:asciiTheme="majorBidi" w:hAnsiTheme="majorBidi" w:cstheme="majorBidi"/>
          <w:b/>
          <w:bCs/>
          <w:sz w:val="32"/>
          <w:szCs w:val="32"/>
          <w:shd w:val="clear" w:color="auto" w:fill="FFFFFF"/>
        </w:rPr>
        <w:t xml:space="preserve">                        </w:t>
      </w:r>
    </w:p>
    <w:p w:rsidR="00852F5C" w:rsidRDefault="00852F5C" w:rsidP="00852F5C">
      <w:pPr>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The principle of affinity chromatography is as follows: </w:t>
      </w:r>
    </w:p>
    <w:p w:rsidR="004307A3" w:rsidRDefault="00852F5C">
      <w:pPr>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1) Inject a sample into an initially equilibrated affinity chromatography column.</w:t>
      </w:r>
      <w:r w:rsidRPr="000160D4">
        <w:rPr>
          <w:rFonts w:asciiTheme="majorBidi" w:hAnsiTheme="majorBidi" w:cstheme="majorBidi"/>
          <w:b/>
          <w:bCs/>
          <w:sz w:val="32"/>
          <w:szCs w:val="32"/>
          <w:shd w:val="clear" w:color="auto" w:fill="FFFFFF"/>
          <w:lang w:bidi="ar-IQ"/>
        </w:rPr>
        <w:br/>
        <w:t>2) Only the substances with affinity for the ligand are retained in the column.</w:t>
      </w:r>
      <w:r w:rsidRPr="000160D4">
        <w:rPr>
          <w:rFonts w:asciiTheme="majorBidi" w:hAnsiTheme="majorBidi" w:cstheme="majorBidi"/>
          <w:b/>
          <w:bCs/>
          <w:sz w:val="32"/>
          <w:szCs w:val="32"/>
          <w:shd w:val="clear" w:color="auto" w:fill="FFFFFF"/>
          <w:lang w:bidi="ar-IQ"/>
        </w:rPr>
        <w:br/>
        <w:t>3) Other substances with no affinity for the ligand are eluted from the column.</w:t>
      </w:r>
    </w:p>
    <w:p w:rsidR="00852F5C" w:rsidRDefault="00852F5C" w:rsidP="00852F5C">
      <w:pPr>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4) The substances retained in the column can be eluted from the column by changing pH or salt concentration of the eluent.</w:t>
      </w:r>
      <w:r w:rsidRPr="000160D4">
        <w:rPr>
          <w:rFonts w:asciiTheme="majorBidi" w:hAnsiTheme="majorBidi" w:cstheme="majorBidi"/>
          <w:b/>
          <w:bCs/>
          <w:sz w:val="32"/>
          <w:szCs w:val="32"/>
          <w:shd w:val="clear" w:color="auto" w:fill="FFFFFF"/>
          <w:lang w:bidi="ar-IQ"/>
        </w:rPr>
        <w:br/>
        <w:t>Affinity chromatography separates proteins on the basis of a reversible interaction between a protein and a specific ligand coupled to a chromatography matrix, eluent is then passed throw the column to release the highly purified and concentrated molecule.</w:t>
      </w:r>
    </w:p>
    <w:p w:rsidR="00852F5C" w:rsidRDefault="00852F5C" w:rsidP="00852F5C">
      <w:pPr>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The affinity chromatography technique offers:</w:t>
      </w:r>
    </w:p>
    <w:p w:rsidR="00852F5C" w:rsidRDefault="00852F5C" w:rsidP="00852F5C">
      <w:pPr>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lastRenderedPageBreak/>
        <w:t>1-High selectivity, hence high resolution.</w:t>
      </w:r>
    </w:p>
    <w:p w:rsidR="00852F5C" w:rsidRPr="000160D4" w:rsidRDefault="00852F5C" w:rsidP="00852F5C">
      <w:pPr>
        <w:rPr>
          <w:rFonts w:asciiTheme="majorBidi" w:hAnsiTheme="majorBidi" w:cstheme="majorBidi"/>
          <w:b/>
          <w:bCs/>
          <w:sz w:val="32"/>
          <w:szCs w:val="32"/>
          <w:shd w:val="clear" w:color="auto" w:fill="FFFFFF"/>
          <w:rtl/>
          <w:lang w:bidi="ar-IQ"/>
        </w:rPr>
      </w:pPr>
      <w:r w:rsidRPr="000160D4">
        <w:rPr>
          <w:rFonts w:asciiTheme="majorBidi" w:hAnsiTheme="majorBidi" w:cstheme="majorBidi"/>
          <w:b/>
          <w:bCs/>
          <w:sz w:val="32"/>
          <w:szCs w:val="32"/>
          <w:shd w:val="clear" w:color="auto" w:fill="FFFFFF"/>
          <w:lang w:bidi="ar-IQ"/>
        </w:rPr>
        <w:t>2- High capacity for the protein(s) of interest.</w:t>
      </w:r>
    </w:p>
    <w:p w:rsidR="00852F5C" w:rsidRDefault="00852F5C" w:rsidP="00852F5C">
      <w:pPr>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3-Target protein(s) is collected in a purified, concentrated form.</w:t>
      </w:r>
    </w:p>
    <w:p w:rsidR="00852F5C" w:rsidRDefault="00852F5C" w:rsidP="00852F5C">
      <w:pPr>
        <w:jc w:val="both"/>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Waals’ forces and/or hydrogen bonding. To elute the target molecule from the affinity medium, the interaction can be reversed, either specifically using a competitive ligand, or non-specifically, by changing the</w:t>
      </w:r>
      <w:r>
        <w:rPr>
          <w:rFonts w:asciiTheme="majorBidi" w:hAnsiTheme="majorBidi" w:cstheme="majorBidi"/>
          <w:b/>
          <w:bCs/>
          <w:sz w:val="32"/>
          <w:szCs w:val="32"/>
          <w:shd w:val="clear" w:color="auto" w:fill="FFFFFF"/>
          <w:lang w:bidi="ar-IQ"/>
        </w:rPr>
        <w:t xml:space="preserve"> </w:t>
      </w:r>
      <w:r w:rsidRPr="000160D4">
        <w:rPr>
          <w:rFonts w:asciiTheme="majorBidi" w:hAnsiTheme="majorBidi" w:cstheme="majorBidi"/>
          <w:b/>
          <w:bCs/>
          <w:sz w:val="32"/>
          <w:szCs w:val="32"/>
          <w:shd w:val="clear" w:color="auto" w:fill="FFFFFF"/>
          <w:lang w:bidi="ar-IQ"/>
        </w:rPr>
        <w:t>pH, ionic strength or polarity. Target molecules can be purified from complex biological mixtures, native forms can be separated from denatured forms of the same substance. For an even higher degree of purity, or when there is no suitable ligand for affinity purification, an efficient multi-step process must be developed using the purification strategy of Capture.</w:t>
      </w:r>
    </w:p>
    <w:p w:rsidR="00852F5C" w:rsidRDefault="00852F5C" w:rsidP="00852F5C">
      <w:pPr>
        <w:jc w:val="both"/>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When applying this strategy affinity chromatography offers an ideal capture or intermediate step in any purification protocol and can be used whenever a suitable ligand is available for the protein of interest. Successful affinity purification requires a biospecific ligand that can be covalently attached to a chromatography matrix.</w:t>
      </w:r>
      <w:r>
        <w:rPr>
          <w:rFonts w:asciiTheme="majorBidi" w:hAnsiTheme="majorBidi" w:cstheme="majorBidi"/>
          <w:b/>
          <w:bCs/>
          <w:sz w:val="32"/>
          <w:szCs w:val="32"/>
          <w:shd w:val="clear" w:color="auto" w:fill="FFFFFF"/>
          <w:lang w:bidi="ar-IQ"/>
        </w:rPr>
        <w:t xml:space="preserve"> </w:t>
      </w:r>
      <w:r w:rsidRPr="000160D4">
        <w:rPr>
          <w:rFonts w:asciiTheme="majorBidi" w:hAnsiTheme="majorBidi" w:cstheme="majorBidi"/>
          <w:b/>
          <w:bCs/>
          <w:sz w:val="32"/>
          <w:szCs w:val="32"/>
          <w:shd w:val="clear" w:color="auto" w:fill="FFFFFF"/>
          <w:lang w:bidi="ar-IQ"/>
        </w:rPr>
        <w:t>The coupled ligand must retain its specific binding affinity for the target molecules and, after washing away unbound material, the binding between the ligand and target molecule must be reversible to allow the target molecules to be removed in an active form. Any component can be used as a ligand to purify its respective binding partner.</w:t>
      </w:r>
    </w:p>
    <w:p w:rsidR="005F19D3" w:rsidRDefault="005F19D3" w:rsidP="005F19D3">
      <w:pPr>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Some typical biological interactio</w:t>
      </w:r>
      <w:r>
        <w:rPr>
          <w:rFonts w:asciiTheme="majorBidi" w:hAnsiTheme="majorBidi" w:cstheme="majorBidi"/>
          <w:b/>
          <w:bCs/>
          <w:sz w:val="32"/>
          <w:szCs w:val="32"/>
          <w:shd w:val="clear" w:color="auto" w:fill="FFFFFF"/>
          <w:lang w:bidi="ar-IQ"/>
        </w:rPr>
        <w:t xml:space="preserve">ns, frequently used in affinity     </w:t>
      </w:r>
      <w:r w:rsidRPr="000160D4">
        <w:rPr>
          <w:rFonts w:asciiTheme="majorBidi" w:hAnsiTheme="majorBidi" w:cstheme="majorBidi"/>
          <w:b/>
          <w:bCs/>
          <w:sz w:val="32"/>
          <w:szCs w:val="32"/>
          <w:shd w:val="clear" w:color="auto" w:fill="FFFFFF"/>
          <w:lang w:bidi="ar-IQ"/>
        </w:rPr>
        <w:t>chromatography, are listed below:</w:t>
      </w:r>
      <w:r>
        <w:rPr>
          <w:rFonts w:asciiTheme="majorBidi" w:hAnsiTheme="majorBidi" w:cstheme="majorBidi"/>
          <w:b/>
          <w:bCs/>
          <w:sz w:val="32"/>
          <w:szCs w:val="32"/>
          <w:shd w:val="clear" w:color="auto" w:fill="FFFFFF"/>
          <w:lang w:bidi="ar-IQ"/>
        </w:rPr>
        <w:t xml:space="preserve"> </w:t>
      </w:r>
    </w:p>
    <w:p w:rsidR="005F19D3" w:rsidRDefault="005F19D3" w:rsidP="005F19D3">
      <w:pPr>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Enzyme </w:t>
      </w:r>
      <w:r w:rsidRPr="000160D4">
        <w:rPr>
          <w:rFonts w:asciiTheme="majorBidi" w:hAnsiTheme="majorBidi" w:cstheme="majorBidi"/>
          <w:b/>
          <w:bCs/>
          <w:sz w:val="32"/>
          <w:szCs w:val="32"/>
          <w:shd w:val="clear" w:color="auto" w:fill="FFFFFF"/>
          <w:lang w:bidi="ar-IQ"/>
        </w:rPr>
        <w:sym w:font="Symbol" w:char="F0F3"/>
      </w:r>
      <w:r w:rsidRPr="000160D4">
        <w:rPr>
          <w:rFonts w:asciiTheme="majorBidi" w:hAnsiTheme="majorBidi" w:cstheme="majorBidi"/>
          <w:b/>
          <w:bCs/>
          <w:sz w:val="32"/>
          <w:szCs w:val="32"/>
          <w:shd w:val="clear" w:color="auto" w:fill="FFFFFF"/>
          <w:lang w:bidi="ar-IQ"/>
        </w:rPr>
        <w:t xml:space="preserve"> substrate analogue, inhibitor, and cofactor.</w:t>
      </w:r>
    </w:p>
    <w:p w:rsidR="005F19D3" w:rsidRDefault="005F19D3" w:rsidP="005F19D3">
      <w:pPr>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 Antibody </w:t>
      </w:r>
      <w:r w:rsidRPr="000160D4">
        <w:rPr>
          <w:rFonts w:asciiTheme="majorBidi" w:hAnsiTheme="majorBidi" w:cstheme="majorBidi"/>
          <w:b/>
          <w:bCs/>
          <w:sz w:val="32"/>
          <w:szCs w:val="32"/>
          <w:shd w:val="clear" w:color="auto" w:fill="FFFFFF"/>
          <w:lang w:bidi="ar-IQ"/>
        </w:rPr>
        <w:sym w:font="Symbol" w:char="F0F3"/>
      </w:r>
      <w:r w:rsidRPr="000160D4">
        <w:rPr>
          <w:rFonts w:asciiTheme="majorBidi" w:hAnsiTheme="majorBidi" w:cstheme="majorBidi"/>
          <w:b/>
          <w:bCs/>
          <w:sz w:val="32"/>
          <w:szCs w:val="32"/>
          <w:shd w:val="clear" w:color="auto" w:fill="FFFFFF"/>
          <w:lang w:bidi="ar-IQ"/>
        </w:rPr>
        <w:t xml:space="preserve"> antigen, virus, cell.</w:t>
      </w:r>
    </w:p>
    <w:p w:rsidR="005F19D3" w:rsidRDefault="005F19D3" w:rsidP="005F19D3">
      <w:pPr>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 Lectin</w:t>
      </w:r>
      <w:r w:rsidRPr="000160D4">
        <w:rPr>
          <w:rFonts w:asciiTheme="majorBidi" w:hAnsiTheme="majorBidi" w:cstheme="majorBidi"/>
          <w:b/>
          <w:bCs/>
          <w:sz w:val="32"/>
          <w:szCs w:val="32"/>
          <w:shd w:val="clear" w:color="auto" w:fill="FFFFFF"/>
          <w:lang w:bidi="ar-IQ"/>
        </w:rPr>
        <w:sym w:font="Symbol" w:char="F0F3"/>
      </w:r>
      <w:r w:rsidRPr="000160D4">
        <w:rPr>
          <w:rFonts w:asciiTheme="majorBidi" w:hAnsiTheme="majorBidi" w:cstheme="majorBidi"/>
          <w:b/>
          <w:bCs/>
          <w:sz w:val="32"/>
          <w:szCs w:val="32"/>
          <w:shd w:val="clear" w:color="auto" w:fill="FFFFFF"/>
          <w:lang w:bidi="ar-IQ"/>
        </w:rPr>
        <w:t xml:space="preserve"> polysaccharide, glycoprotein, cell surface receptor, cell.</w:t>
      </w:r>
    </w:p>
    <w:p w:rsidR="005F19D3" w:rsidRDefault="005F19D3" w:rsidP="005F19D3">
      <w:pPr>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 Nucleic acid </w:t>
      </w:r>
      <w:r w:rsidRPr="000160D4">
        <w:rPr>
          <w:rFonts w:asciiTheme="majorBidi" w:hAnsiTheme="majorBidi" w:cstheme="majorBidi"/>
          <w:b/>
          <w:bCs/>
          <w:sz w:val="32"/>
          <w:szCs w:val="32"/>
          <w:shd w:val="clear" w:color="auto" w:fill="FFFFFF"/>
          <w:lang w:bidi="ar-IQ"/>
        </w:rPr>
        <w:sym w:font="Symbol" w:char="F0F3"/>
      </w:r>
      <w:r w:rsidRPr="000160D4">
        <w:rPr>
          <w:rFonts w:asciiTheme="majorBidi" w:hAnsiTheme="majorBidi" w:cstheme="majorBidi"/>
          <w:b/>
          <w:bCs/>
          <w:sz w:val="32"/>
          <w:szCs w:val="32"/>
          <w:shd w:val="clear" w:color="auto" w:fill="FFFFFF"/>
          <w:lang w:bidi="ar-IQ"/>
        </w:rPr>
        <w:t xml:space="preserve"> complementary base sequence, histones, nucleic acid polymerase, nucleic acid binding protein.</w:t>
      </w:r>
    </w:p>
    <w:p w:rsidR="005F19D3" w:rsidRDefault="005F19D3" w:rsidP="005F19D3">
      <w:pPr>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Hormone, vitamin </w:t>
      </w:r>
      <w:r w:rsidRPr="000160D4">
        <w:rPr>
          <w:rFonts w:asciiTheme="majorBidi" w:hAnsiTheme="majorBidi" w:cstheme="majorBidi"/>
          <w:b/>
          <w:bCs/>
          <w:sz w:val="32"/>
          <w:szCs w:val="32"/>
          <w:shd w:val="clear" w:color="auto" w:fill="FFFFFF"/>
          <w:lang w:bidi="ar-IQ"/>
        </w:rPr>
        <w:sym w:font="Symbol" w:char="F0F3"/>
      </w:r>
      <w:r w:rsidRPr="000160D4">
        <w:rPr>
          <w:rFonts w:asciiTheme="majorBidi" w:hAnsiTheme="majorBidi" w:cstheme="majorBidi"/>
          <w:b/>
          <w:bCs/>
          <w:sz w:val="32"/>
          <w:szCs w:val="32"/>
          <w:shd w:val="clear" w:color="auto" w:fill="FFFFFF"/>
          <w:lang w:bidi="ar-IQ"/>
        </w:rPr>
        <w:t xml:space="preserve"> receptor, carrier protein.</w:t>
      </w:r>
    </w:p>
    <w:p w:rsidR="005F19D3" w:rsidRDefault="005F19D3" w:rsidP="005F19D3">
      <w:pPr>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 Glutathione </w:t>
      </w:r>
      <w:r w:rsidRPr="000160D4">
        <w:rPr>
          <w:rFonts w:asciiTheme="majorBidi" w:hAnsiTheme="majorBidi" w:cstheme="majorBidi"/>
          <w:b/>
          <w:bCs/>
          <w:sz w:val="32"/>
          <w:szCs w:val="32"/>
          <w:shd w:val="clear" w:color="auto" w:fill="FFFFFF"/>
          <w:lang w:bidi="ar-IQ"/>
        </w:rPr>
        <w:sym w:font="Symbol" w:char="F0F3"/>
      </w:r>
      <w:r w:rsidRPr="000160D4">
        <w:rPr>
          <w:rFonts w:asciiTheme="majorBidi" w:hAnsiTheme="majorBidi" w:cstheme="majorBidi"/>
          <w:b/>
          <w:bCs/>
          <w:sz w:val="32"/>
          <w:szCs w:val="32"/>
          <w:shd w:val="clear" w:color="auto" w:fill="FFFFFF"/>
          <w:lang w:bidi="ar-IQ"/>
        </w:rPr>
        <w:t xml:space="preserve"> glutathione-S-transferase.</w:t>
      </w:r>
    </w:p>
    <w:p w:rsidR="005F19D3" w:rsidRDefault="005F19D3" w:rsidP="005F19D3">
      <w:pPr>
        <w:rPr>
          <w:rFonts w:asciiTheme="majorBidi" w:hAnsiTheme="majorBidi" w:cstheme="majorBidi"/>
          <w:b/>
          <w:bCs/>
          <w:sz w:val="32"/>
          <w:szCs w:val="32"/>
          <w:shd w:val="clear" w:color="auto" w:fill="FFFFFF"/>
          <w:lang w:bidi="ar-IQ"/>
        </w:rPr>
      </w:pPr>
      <w:r w:rsidRPr="000160D4">
        <w:rPr>
          <w:rFonts w:asciiTheme="majorBidi" w:hAnsiTheme="majorBidi" w:cstheme="majorBidi"/>
          <w:b/>
          <w:bCs/>
          <w:sz w:val="32"/>
          <w:szCs w:val="32"/>
          <w:shd w:val="clear" w:color="auto" w:fill="FFFFFF"/>
          <w:lang w:bidi="ar-IQ"/>
        </w:rPr>
        <w:t xml:space="preserve">• Metal ions </w:t>
      </w:r>
      <w:r w:rsidRPr="000160D4">
        <w:rPr>
          <w:rFonts w:asciiTheme="majorBidi" w:hAnsiTheme="majorBidi" w:cstheme="majorBidi"/>
          <w:b/>
          <w:bCs/>
          <w:sz w:val="32"/>
          <w:szCs w:val="32"/>
          <w:shd w:val="clear" w:color="auto" w:fill="FFFFFF"/>
          <w:lang w:bidi="ar-IQ"/>
        </w:rPr>
        <w:sym w:font="Symbol" w:char="F0F3"/>
      </w:r>
      <w:r w:rsidRPr="000160D4">
        <w:rPr>
          <w:rFonts w:asciiTheme="majorBidi" w:hAnsiTheme="majorBidi" w:cstheme="majorBidi"/>
          <w:b/>
          <w:bCs/>
          <w:sz w:val="32"/>
          <w:szCs w:val="32"/>
          <w:shd w:val="clear" w:color="auto" w:fill="FFFFFF"/>
          <w:lang w:bidi="ar-IQ"/>
        </w:rPr>
        <w:t xml:space="preserve"> native proteins with histidine, cysteine and/or tryptophan residues on their surfaces.</w:t>
      </w:r>
    </w:p>
    <w:p w:rsidR="00AF086D" w:rsidRPr="000160D4" w:rsidRDefault="00AF086D" w:rsidP="00AF086D">
      <w:pPr>
        <w:jc w:val="center"/>
        <w:rPr>
          <w:rFonts w:asciiTheme="majorBidi" w:hAnsiTheme="majorBidi" w:cstheme="majorBidi"/>
          <w:b/>
          <w:bCs/>
          <w:sz w:val="32"/>
          <w:szCs w:val="32"/>
          <w:shd w:val="clear" w:color="auto" w:fill="FFFFFF"/>
          <w:lang w:bidi="ar-IQ"/>
        </w:rPr>
      </w:pPr>
      <w:r w:rsidRPr="00AF086D">
        <w:rPr>
          <w:rFonts w:asciiTheme="majorBidi" w:hAnsiTheme="majorBidi" w:cstheme="majorBidi"/>
          <w:b/>
          <w:bCs/>
          <w:noProof/>
          <w:sz w:val="32"/>
          <w:szCs w:val="32"/>
          <w:shd w:val="clear" w:color="auto" w:fill="FFFFFF"/>
        </w:rPr>
        <w:drawing>
          <wp:inline distT="0" distB="0" distL="0" distR="0">
            <wp:extent cx="5397910" cy="3687097"/>
            <wp:effectExtent l="19050" t="0" r="0" b="0"/>
            <wp:docPr id="1" name="Picture 1" descr="https://www.shodex.com/assets/images/en-illust/i0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odex.com/assets/images/en-illust/i0077.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3688552"/>
                    </a:xfrm>
                    <a:prstGeom prst="rect">
                      <a:avLst/>
                    </a:prstGeom>
                    <a:noFill/>
                    <a:ln>
                      <a:noFill/>
                    </a:ln>
                  </pic:spPr>
                </pic:pic>
              </a:graphicData>
            </a:graphic>
          </wp:inline>
        </w:drawing>
      </w:r>
    </w:p>
    <w:p w:rsidR="005F19D3" w:rsidRDefault="005F19D3" w:rsidP="00852F5C">
      <w:pPr>
        <w:jc w:val="both"/>
        <w:rPr>
          <w:rFonts w:asciiTheme="majorBidi" w:hAnsiTheme="majorBidi" w:cstheme="majorBidi"/>
          <w:b/>
          <w:bCs/>
          <w:sz w:val="32"/>
          <w:szCs w:val="32"/>
          <w:shd w:val="clear" w:color="auto" w:fill="FFFFFF"/>
          <w:lang w:bidi="ar-IQ"/>
        </w:rPr>
      </w:pPr>
    </w:p>
    <w:p w:rsidR="00852F5C" w:rsidRDefault="00852F5C" w:rsidP="00852F5C">
      <w:pPr>
        <w:jc w:val="both"/>
      </w:pPr>
    </w:p>
    <w:sectPr w:rsidR="00852F5C" w:rsidSect="00423847">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599" w:rsidRDefault="00671599" w:rsidP="00D920D8">
      <w:pPr>
        <w:spacing w:after="0" w:line="240" w:lineRule="auto"/>
      </w:pPr>
      <w:r>
        <w:separator/>
      </w:r>
    </w:p>
  </w:endnote>
  <w:endnote w:type="continuationSeparator" w:id="1">
    <w:p w:rsidR="00671599" w:rsidRDefault="00671599" w:rsidP="00D92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482954"/>
      <w:docPartObj>
        <w:docPartGallery w:val="Page Numbers (Bottom of Page)"/>
        <w:docPartUnique/>
      </w:docPartObj>
    </w:sdtPr>
    <w:sdtContent>
      <w:p w:rsidR="00D920D8" w:rsidRDefault="00D920D8">
        <w:pPr>
          <w:pStyle w:val="Footer"/>
          <w:jc w:val="center"/>
        </w:pPr>
        <w:fldSimple w:instr=" PAGE   \* MERGEFORMAT ">
          <w:r w:rsidR="00671599">
            <w:rPr>
              <w:noProof/>
            </w:rPr>
            <w:t>1</w:t>
          </w:r>
        </w:fldSimple>
      </w:p>
    </w:sdtContent>
  </w:sdt>
  <w:p w:rsidR="00D920D8" w:rsidRDefault="00D92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599" w:rsidRDefault="00671599" w:rsidP="00D920D8">
      <w:pPr>
        <w:spacing w:after="0" w:line="240" w:lineRule="auto"/>
      </w:pPr>
      <w:r>
        <w:separator/>
      </w:r>
    </w:p>
  </w:footnote>
  <w:footnote w:type="continuationSeparator" w:id="1">
    <w:p w:rsidR="00671599" w:rsidRDefault="00671599" w:rsidP="00D920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savePreviewPicture/>
  <w:footnotePr>
    <w:footnote w:id="0"/>
    <w:footnote w:id="1"/>
  </w:footnotePr>
  <w:endnotePr>
    <w:endnote w:id="0"/>
    <w:endnote w:id="1"/>
  </w:endnotePr>
  <w:compat>
    <w:useFELayout/>
  </w:compat>
  <w:rsids>
    <w:rsidRoot w:val="00FC05FD"/>
    <w:rsid w:val="00423847"/>
    <w:rsid w:val="004307A3"/>
    <w:rsid w:val="005F19D3"/>
    <w:rsid w:val="00671599"/>
    <w:rsid w:val="00756EF4"/>
    <w:rsid w:val="00852F5C"/>
    <w:rsid w:val="008B4931"/>
    <w:rsid w:val="00AF086D"/>
    <w:rsid w:val="00D920D8"/>
    <w:rsid w:val="00DA46F1"/>
    <w:rsid w:val="00FC05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86D"/>
    <w:rPr>
      <w:rFonts w:ascii="Tahoma" w:hAnsi="Tahoma" w:cs="Tahoma"/>
      <w:sz w:val="16"/>
      <w:szCs w:val="16"/>
    </w:rPr>
  </w:style>
  <w:style w:type="paragraph" w:styleId="Header">
    <w:name w:val="header"/>
    <w:basedOn w:val="Normal"/>
    <w:link w:val="HeaderChar"/>
    <w:uiPriority w:val="99"/>
    <w:semiHidden/>
    <w:unhideWhenUsed/>
    <w:rsid w:val="00D920D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920D8"/>
  </w:style>
  <w:style w:type="paragraph" w:styleId="Footer">
    <w:name w:val="footer"/>
    <w:basedOn w:val="Normal"/>
    <w:link w:val="FooterChar"/>
    <w:uiPriority w:val="99"/>
    <w:unhideWhenUsed/>
    <w:rsid w:val="00D920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20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lycoprotein" TargetMode="External"/><Relationship Id="rId3" Type="http://schemas.openxmlformats.org/officeDocument/2006/relationships/webSettings" Target="webSettings.xml"/><Relationship Id="rId7" Type="http://schemas.openxmlformats.org/officeDocument/2006/relationships/hyperlink" Target="https://en.wikipedia.org/wiki/Concanavalin_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Lecti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520</Words>
  <Characters>2964</Characters>
  <Application>Microsoft Office Word</Application>
  <DocSecurity>0</DocSecurity>
  <Lines>24</Lines>
  <Paragraphs>6</Paragraphs>
  <ScaleCrop>false</ScaleCrop>
  <Company>Enjoy My Fine Releases.</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7</cp:revision>
  <dcterms:created xsi:type="dcterms:W3CDTF">2019-10-06T17:39:00Z</dcterms:created>
  <dcterms:modified xsi:type="dcterms:W3CDTF">2019-10-06T17:50:00Z</dcterms:modified>
</cp:coreProperties>
</file>