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bookmarkStart w:id="0" w:name="_GoBack"/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المقدمة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نبذة تاريخية عن علم المبلمرات ، تسمية ومعنى البوليمرات</w:t>
      </w: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</w:rPr>
        <w:t xml:space="preserve"> polymer 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مفاهيم أساسية لفهم تركيب المبلمرات وخصائصها، تعريف المبلمر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بعض الخصائص لهيدروكربون خطية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تسمية المبلمرات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تدريب، أمثلة محلولة ـ مسائل مع الحل، تمارين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الأسئلة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الفصل الثاني : تصنيف المبلمرات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التصنيف حسب المصدر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مبلمرات طبيعية ( حيوية )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مبلمرات عضوية مصنة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مبلمرات عضوية مصنعة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مبلمرات غير ـ عضوية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المبلمرات الشبكية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التصنيف حسب السلوك الحراري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المبلمرات المطوعة حرارياَ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المبلمرات المرنة المطاطية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التصنيف حسب ميكانكية تفاعل البملرة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الفصل الثالث : تفاعلات البلمرة الخطوية ( التكثيفية )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أمثلة محلولة ـ مسائل مع الحل ، تمارين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حركية البلمرة الخطوية الخطية المحفزة ذاتيا وتوزيع الكتلة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lastRenderedPageBreak/>
        <w:t>البلمرة الخطوية المتفرعة والشبكية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الفصل الرابع : تفاعلات البلمرة التسلسلية ( الإضافة )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طول السلسلة الحركي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البلمرة الأيونية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البلمرة الكاتيونية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المبلمرات الحية</w:t>
      </w:r>
    </w:p>
    <w:p w:rsidR="000D38A5" w:rsidRPr="000D38A5" w:rsidRDefault="000D38A5" w:rsidP="000D38A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0D38A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حركية تفاعلات البلمرة التسلسلية الأنيونية</w:t>
      </w:r>
    </w:p>
    <w:bookmarkEnd w:id="0"/>
    <w:p w:rsidR="007016E2" w:rsidRDefault="007016E2"/>
    <w:sectPr w:rsidR="00701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5"/>
    <w:rsid w:val="000D38A5"/>
    <w:rsid w:val="0070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CF96F-3266-4262-98E0-006E5447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9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4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ayad tariq 65</dc:creator>
  <cp:keywords/>
  <dc:description/>
  <cp:lastModifiedBy>ayad tariq 65</cp:lastModifiedBy>
  <cp:revision>2</cp:revision>
  <dcterms:created xsi:type="dcterms:W3CDTF">2019-07-05T14:05:00Z</dcterms:created>
  <dcterms:modified xsi:type="dcterms:W3CDTF">2019-07-05T14:10:00Z</dcterms:modified>
</cp:coreProperties>
</file>