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B" w:rsidRPr="000674F7" w:rsidRDefault="000C239B" w:rsidP="000C239B">
      <w:pPr>
        <w:bidi/>
        <w:jc w:val="center"/>
        <w:rPr>
          <w:rFonts w:ascii="Simplified Arabic" w:hAnsi="Simplified Arabic" w:cs="Simplified Arabic"/>
          <w:b/>
          <w:bCs/>
          <w:sz w:val="12"/>
          <w:szCs w:val="12"/>
          <w:rtl/>
        </w:rPr>
      </w:pPr>
      <w:bookmarkStart w:id="0" w:name="_GoBack"/>
      <w:bookmarkEnd w:id="0"/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تجربة (</w:t>
      </w:r>
      <w:r w:rsidRPr="000674F7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IQ"/>
        </w:rPr>
        <w:t>2</w:t>
      </w:r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)</w:t>
      </w:r>
    </w:p>
    <w:p w:rsidR="000C239B" w:rsidRDefault="000C239B" w:rsidP="000C239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674F7">
        <w:rPr>
          <w:rFonts w:ascii="Traditional Arabic" w:hAnsi="Traditional Arabic" w:cs="Traditional Arabic"/>
          <w:b/>
          <w:bCs/>
          <w:sz w:val="44"/>
          <w:szCs w:val="44"/>
          <w:rtl/>
        </w:rPr>
        <w:t>حساب درجة الخطورة لبعض الملوثات الغازية والجسيمات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708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هدف التجربة: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تحديد درجة الخطورة لبعض الملوثات الجوية الموجودة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vertAlign w:val="subscript"/>
          <w:rtl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في جو المدينة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0C239B" w:rsidRPr="00F10A7C" w:rsidRDefault="000C239B" w:rsidP="000C239B">
      <w:pPr>
        <w:bidi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0C239B" w:rsidRPr="00847085" w:rsidRDefault="000C239B" w:rsidP="000C239B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84708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الجزء النظري</w:t>
      </w:r>
    </w:p>
    <w:p w:rsidR="000C239B" w:rsidRDefault="000C239B" w:rsidP="000C239B">
      <w:pPr>
        <w:bidi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إ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ن خطورة اي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لوث تعتمد على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درجة تركيزه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اولا وعلى مدى التعرض له ثانيا ولكن تساوي التركيز وفترة التعرض للملوث يصبح من 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كن ترتيب الملوثات الهوائية حسب خطورتها. يعد غاز اول اوكسي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الكاربون اكثر الملوثات شيوعا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ويمكن عده معيارا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لقياس خطورة الملوثات الرئيسية المختلفة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eastAsia="Calibri" w:hAnsi="Simplified Arabic" w:cs="Simplified Arabic" w:hint="cs"/>
            <w:sz w:val="28"/>
            <w:szCs w:val="28"/>
            <w:rtl/>
            <w:lang w:bidi="ar-IQ"/>
          </w:rPr>
          <w:id w:val="-307564149"/>
          <w:citation/>
        </w:sdtPr>
        <w:sdtEndPr/>
        <w:sdtContent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instrText>خلف15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\l 1033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653116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[1]</w: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الجدول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2-2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يبي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ّ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ن معامل التاثير لهذه الملوثات بالاضافة الى مستوى الاحتمال بوحدات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m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g/m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perscript"/>
          <w:lang w:bidi="ar-IQ"/>
        </w:rPr>
        <w:t>3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 والذي يعرف بانه اعلى تركيز للعنصر الملوث يمكن تحمله من قبل الانسان عند التعرض له خلال ساعة واحدة.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ويحسب معامل التاثير لملوث معين بانه: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</w:t>
      </w:r>
    </w:p>
    <w:p w:rsidR="000C239B" w:rsidRPr="007A46A8" w:rsidRDefault="000C239B" w:rsidP="000C239B">
      <w:p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                 </w:t>
      </w:r>
      <m:oMath>
        <m:f>
          <m:fPr>
            <m:ctrlPr>
              <w:rPr>
                <w:rFonts w:ascii="Cambria Math" w:eastAsia="Calibri" w:hAnsi="Cambria Math" w:cs="Simplified Arabic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>CO</m:t>
            </m:r>
            <m:r>
              <w:rPr>
                <w:rFonts w:ascii="Cambria Math" w:eastAsia="Calibri" w:hAnsi="Cambria Math" w:cs="Simplified Arabic"/>
                <w:sz w:val="32"/>
                <w:szCs w:val="32"/>
                <w:rtl/>
                <w:lang w:bidi="ar-IQ"/>
              </w:rPr>
              <m:t xml:space="preserve"> الاحتمال مستوى</m:t>
            </m:r>
          </m:num>
          <m:den>
            <m: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 xml:space="preserve"> </m:t>
            </m:r>
            <m:r>
              <w:rPr>
                <w:rFonts w:ascii="Cambria Math" w:eastAsia="Calibri" w:hAnsi="Cambria Math" w:cs="Simplified Arabic"/>
                <w:sz w:val="32"/>
                <w:szCs w:val="32"/>
                <w:rtl/>
                <w:lang w:bidi="ar-IQ"/>
              </w:rPr>
              <m:t>معين لملوث  الاحتمال</m:t>
            </m:r>
            <m: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 xml:space="preserve"> </m:t>
            </m:r>
            <m:r>
              <w:rPr>
                <w:rFonts w:ascii="Cambria Math" w:eastAsia="Calibri" w:hAnsi="Cambria Math" w:cs="Simplified Arabic"/>
                <w:sz w:val="32"/>
                <w:szCs w:val="32"/>
                <w:rtl/>
                <w:lang w:bidi="ar-IQ"/>
              </w:rPr>
              <m:t xml:space="preserve"> مستوى</m:t>
            </m:r>
          </m:den>
        </m:f>
        <m:r>
          <w:rPr>
            <w:rFonts w:ascii="Cambria Math" w:eastAsia="Calibri" w:hAnsi="Cambria Math" w:cs="Simplified Arabic"/>
            <w:sz w:val="32"/>
            <w:szCs w:val="32"/>
            <w:lang w:bidi="ar-IQ"/>
          </w:rPr>
          <m:t>=</m:t>
        </m:r>
        <m:r>
          <w:rPr>
            <w:rFonts w:ascii="Cambria Math" w:eastAsia="Calibri" w:hAnsi="Cambria Math" w:cs="Simplified Arabic"/>
            <w:sz w:val="32"/>
            <w:szCs w:val="32"/>
            <w:rtl/>
            <w:lang w:bidi="ar-IQ"/>
          </w:rPr>
          <m:t>التاثير معامل</m:t>
        </m:r>
      </m:oMath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Pr="007A46A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    (3-2)</w:t>
      </w:r>
    </w:p>
    <w:p w:rsidR="000C239B" w:rsidRPr="00F10A7C" w:rsidRDefault="000C239B" w:rsidP="000C239B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فمثلاً معامل التاثير لملوث غاز 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>SO</w:t>
      </w:r>
      <w:r w:rsidRPr="00F10A7C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2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تساوي 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>15.3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لاحظ جدول (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>2-2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). وهذا الرقم يمثل ان 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>SO</w:t>
      </w:r>
      <w:r w:rsidRPr="00F10A7C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X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تبلغ خطورتها حوالي 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>15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مرة اكثر من غاز</w:t>
      </w:r>
      <w:r w:rsidRPr="00F10A7C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CO </w:t>
      </w:r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اذا كان لهما نفس التركيز. اما درجة الخطورة فتعطى من خلال العلاقة </w:t>
      </w:r>
      <w:sdt>
        <w:sdtPr>
          <w:rPr>
            <w:rFonts w:ascii="Simplified Arabic" w:eastAsia="Calibri" w:hAnsi="Simplified Arabic" w:cs="Simplified Arabic"/>
            <w:sz w:val="28"/>
            <w:szCs w:val="28"/>
            <w:rtl/>
            <w:lang w:bidi="ar-IQ"/>
          </w:rPr>
          <w:id w:val="1591344279"/>
          <w:citation/>
        </w:sdtPr>
        <w:sdtEndPr/>
        <w:sdtContent>
          <w:r w:rsidRPr="00F10A7C"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 w:rsidRPr="00F10A7C"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</w:instrText>
          </w:r>
          <w:r w:rsidRPr="00F10A7C"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instrText>خلف15</w:instrText>
          </w:r>
          <w:r w:rsidRPr="00F10A7C"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\l 1033 </w:instrText>
          </w:r>
          <w:r w:rsidRPr="00F10A7C"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F10A7C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[1]</w:t>
          </w:r>
          <w:r w:rsidRPr="00F10A7C"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 w:rsidRPr="00F10A7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</w:p>
    <w:p w:rsidR="000C239B" w:rsidRDefault="000C239B" w:rsidP="000C239B">
      <w:pPr>
        <w:rPr>
          <w:rFonts w:ascii="Simplified Arabic" w:eastAsia="Calibri" w:hAnsi="Simplified Arabic" w:cs="Simplified Arabic"/>
          <w:iCs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="Calibri" w:hAnsi="Cambria Math" w:cs="Simplified Arabic"/>
            <w:sz w:val="32"/>
            <w:szCs w:val="32"/>
            <w:lang w:bidi="ar-IQ"/>
          </w:rPr>
          <m:t>Dangers degree=</m:t>
        </m:r>
        <m:f>
          <m:fPr>
            <m:ctrlPr>
              <w:rPr>
                <w:rFonts w:ascii="Cambria Math" w:eastAsia="Calibri" w:hAnsi="Cambria Math" w:cs="Simplified Arabic"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>Concentration of any pollutant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>proplity level</m:t>
            </m:r>
          </m:den>
        </m:f>
      </m:oMath>
      <w:r w:rsidRPr="00747AC0">
        <w:rPr>
          <w:rFonts w:ascii="Simplified Arabic" w:eastAsia="Calibri" w:hAnsi="Simplified Arabic" w:cs="Simplified Arabic" w:hint="cs"/>
          <w:iCs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iCs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iCs/>
          <w:sz w:val="28"/>
          <w:szCs w:val="28"/>
          <w:lang w:bidi="ar-IQ"/>
        </w:rPr>
        <w:t xml:space="preserve">               (4-2)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0C239B" w:rsidRPr="00F10A7C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0C239B" w:rsidRPr="007A46A8" w:rsidRDefault="000C239B" w:rsidP="000C239B">
      <w:pPr>
        <w:bidi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جدول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): قيم مستوى الاحتمال ومعامل التأثير للملوثات الرئيسية.</w:t>
      </w:r>
    </w:p>
    <w:tbl>
      <w:tblPr>
        <w:bidiVisual/>
        <w:tblW w:w="7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2670"/>
        <w:gridCol w:w="1985"/>
      </w:tblGrid>
      <w:tr w:rsidR="000C239B" w:rsidRPr="007A46A8" w:rsidTr="001F2EC3">
        <w:trPr>
          <w:jc w:val="center"/>
        </w:trPr>
        <w:tc>
          <w:tcPr>
            <w:tcW w:w="2714" w:type="dxa"/>
            <w:vAlign w:val="center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الملوثات الغازية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والجسيمات</w:t>
            </w:r>
          </w:p>
        </w:tc>
        <w:tc>
          <w:tcPr>
            <w:tcW w:w="2670" w:type="dxa"/>
            <w:vAlign w:val="center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ستوى الاحتمال (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m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g/m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3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985" w:type="dxa"/>
            <w:vAlign w:val="center"/>
          </w:tcPr>
          <w:p w:rsidR="000C239B" w:rsidRPr="00D92DD5" w:rsidRDefault="000C239B" w:rsidP="001F2EC3">
            <w:p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92DD5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معامل التاثير</w:t>
            </w:r>
          </w:p>
        </w:tc>
      </w:tr>
      <w:tr w:rsidR="000C239B" w:rsidRPr="007A46A8" w:rsidTr="001F2EC3">
        <w:trPr>
          <w:jc w:val="center"/>
        </w:trPr>
        <w:tc>
          <w:tcPr>
            <w:tcW w:w="2714" w:type="dxa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اول اوكسيد الكاربون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CO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2670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5600</w:t>
            </w:r>
          </w:p>
        </w:tc>
        <w:tc>
          <w:tcPr>
            <w:tcW w:w="1985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</w:p>
        </w:tc>
      </w:tr>
      <w:tr w:rsidR="000C239B" w:rsidRPr="007A46A8" w:rsidTr="001F2EC3">
        <w:trPr>
          <w:jc w:val="center"/>
        </w:trPr>
        <w:tc>
          <w:tcPr>
            <w:tcW w:w="2714" w:type="dxa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اكاسيد الكبريت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502966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SO</w:t>
            </w:r>
            <w:r w:rsidRPr="00502966">
              <w:rPr>
                <w:rFonts w:asciiTheme="majorBidi" w:eastAsia="Calibri" w:hAnsiTheme="majorBidi" w:cstheme="majorBidi"/>
                <w:sz w:val="28"/>
                <w:szCs w:val="28"/>
                <w:vertAlign w:val="subscript"/>
                <w:lang w:bidi="ar-IQ"/>
              </w:rPr>
              <w:t>X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vertAlign w:val="subscript"/>
                <w:rtl/>
                <w:lang w:bidi="ar-IQ"/>
              </w:rPr>
              <w:t xml:space="preserve"> </w:t>
            </w:r>
          </w:p>
        </w:tc>
        <w:tc>
          <w:tcPr>
            <w:tcW w:w="2670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365</w:t>
            </w:r>
          </w:p>
        </w:tc>
        <w:tc>
          <w:tcPr>
            <w:tcW w:w="1985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15.3</w:t>
            </w:r>
          </w:p>
        </w:tc>
      </w:tr>
      <w:tr w:rsidR="000C239B" w:rsidRPr="007A46A8" w:rsidTr="001F2EC3">
        <w:trPr>
          <w:jc w:val="center"/>
        </w:trPr>
        <w:tc>
          <w:tcPr>
            <w:tcW w:w="2714" w:type="dxa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المواد الجسيمية</w:t>
            </w:r>
          </w:p>
        </w:tc>
        <w:tc>
          <w:tcPr>
            <w:tcW w:w="2670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260</w:t>
            </w:r>
          </w:p>
        </w:tc>
        <w:tc>
          <w:tcPr>
            <w:tcW w:w="1985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21.5</w:t>
            </w:r>
          </w:p>
        </w:tc>
      </w:tr>
      <w:tr w:rsidR="000C239B" w:rsidRPr="007A46A8" w:rsidTr="001F2EC3">
        <w:trPr>
          <w:jc w:val="center"/>
        </w:trPr>
        <w:tc>
          <w:tcPr>
            <w:tcW w:w="2714" w:type="dxa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اكاسيد النتروجين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NO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X</w:t>
            </w:r>
          </w:p>
        </w:tc>
        <w:tc>
          <w:tcPr>
            <w:tcW w:w="2670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250</w:t>
            </w:r>
          </w:p>
        </w:tc>
        <w:tc>
          <w:tcPr>
            <w:tcW w:w="1985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22.4</w:t>
            </w:r>
          </w:p>
        </w:tc>
      </w:tr>
      <w:tr w:rsidR="000C239B" w:rsidRPr="007A46A8" w:rsidTr="001F2EC3">
        <w:trPr>
          <w:jc w:val="center"/>
        </w:trPr>
        <w:tc>
          <w:tcPr>
            <w:tcW w:w="2714" w:type="dxa"/>
          </w:tcPr>
          <w:p w:rsidR="000C239B" w:rsidRPr="007A46A8" w:rsidRDefault="000C239B" w:rsidP="001F2EC3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الهيدروكاربونات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HC</w:t>
            </w:r>
            <w:r w:rsidRPr="007A46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70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45</w:t>
            </w:r>
          </w:p>
        </w:tc>
        <w:tc>
          <w:tcPr>
            <w:tcW w:w="1985" w:type="dxa"/>
          </w:tcPr>
          <w:p w:rsidR="000C239B" w:rsidRPr="007A46A8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A46A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125</w:t>
            </w:r>
          </w:p>
        </w:tc>
      </w:tr>
    </w:tbl>
    <w:p w:rsidR="000C239B" w:rsidRPr="00747AC0" w:rsidRDefault="000C239B" w:rsidP="000C239B">
      <w:pPr>
        <w:jc w:val="right"/>
        <w:rPr>
          <w:rFonts w:ascii="Simplified Arabic" w:eastAsia="Calibri" w:hAnsi="Simplified Arabic" w:cs="Simplified Arabic"/>
          <w:sz w:val="14"/>
          <w:szCs w:val="14"/>
          <w:lang w:bidi="ar-IQ"/>
        </w:rPr>
      </w:pPr>
    </w:p>
    <w:p w:rsidR="000C239B" w:rsidRPr="00AF63B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AF63B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المواد والادوات المستخدمة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اجهزة قياس الملوثات الجوية 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CO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CO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2</w:t>
      </w:r>
      <w:r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NO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2</w:t>
      </w:r>
      <w:r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SO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2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0C239B" w:rsidRPr="007A46A8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جهاز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قياس كمية المواد الجسيمية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PM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2</w:t>
      </w:r>
      <w:r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,5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الجدول رقم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2-2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والمعادلات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.2)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.2)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من التجربة السابقة.</w:t>
      </w:r>
    </w:p>
    <w:p w:rsidR="000C239B" w:rsidRPr="00AF63BB" w:rsidRDefault="000C239B" w:rsidP="000C239B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F63B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طريقة العمل</w:t>
      </w:r>
    </w:p>
    <w:p w:rsidR="000C239B" w:rsidRPr="007A46A8" w:rsidRDefault="000C239B" w:rsidP="000C239B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قياس الملوثات الجوية مثل </w:t>
      </w:r>
      <w:r w:rsidRPr="007C00ED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7C00ED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، </w:t>
      </w:r>
      <w:r w:rsidRPr="007C00ED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7C00E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 w:rsidRPr="007C00ED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، </w:t>
      </w:r>
      <w:r w:rsidRPr="007C00ED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7C00E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 w:rsidRPr="007C00ED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، </w:t>
      </w:r>
      <w:r w:rsidRPr="007C00ED">
        <w:rPr>
          <w:rFonts w:asciiTheme="majorBidi" w:eastAsia="Calibri" w:hAnsiTheme="majorBidi" w:cstheme="majorBidi"/>
          <w:sz w:val="32"/>
          <w:szCs w:val="32"/>
          <w:lang w:bidi="ar-IQ"/>
        </w:rPr>
        <w:t>SO</w:t>
      </w:r>
      <w:r w:rsidRPr="007C00ED">
        <w:rPr>
          <w:rFonts w:asciiTheme="majorBidi" w:eastAsia="Calibri" w:hAnsiTheme="majorBidi" w:cstheme="majorBidi"/>
          <w:sz w:val="32"/>
          <w:szCs w:val="32"/>
          <w:vertAlign w:val="subscript"/>
          <w:lang w:bidi="ar-IQ"/>
        </w:rPr>
        <w:t>2</w:t>
      </w:r>
      <w:r w:rsidRPr="007C00E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ان وجدت.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عمل رصدات كل عشرة دقائق لهذه الملوثات ومن ثم ايجاد المعدل، وفي اماكن مختلفة ف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داخل المختبر وفي القاعة الدراسية وفي المناطق المفتوحة (حديقة الجامعة).</w:t>
      </w:r>
    </w:p>
    <w:p w:rsidR="000C239B" w:rsidRPr="00747AC0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47AC0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 w:rsidRPr="00747AC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 أعمل جدول كالمبيّن ادناه فيه المعطيات الاتية:</w:t>
      </w:r>
    </w:p>
    <w:tbl>
      <w:tblPr>
        <w:tblpPr w:leftFromText="180" w:rightFromText="180" w:vertAnchor="text" w:horzAnchor="margin" w:tblpXSpec="center" w:tblpY="215"/>
        <w:bidiVisual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6"/>
        <w:gridCol w:w="840"/>
        <w:gridCol w:w="893"/>
        <w:gridCol w:w="849"/>
        <w:gridCol w:w="1327"/>
        <w:gridCol w:w="1573"/>
        <w:gridCol w:w="1587"/>
      </w:tblGrid>
      <w:tr w:rsidR="000C239B" w:rsidRPr="00747AC0" w:rsidTr="001F2EC3">
        <w:tc>
          <w:tcPr>
            <w:tcW w:w="1586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الملوث المقاس</w:t>
            </w:r>
          </w:p>
        </w:tc>
        <w:tc>
          <w:tcPr>
            <w:tcW w:w="840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القياس الاول</w:t>
            </w:r>
          </w:p>
        </w:tc>
        <w:tc>
          <w:tcPr>
            <w:tcW w:w="89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القياس الثاني</w:t>
            </w:r>
          </w:p>
        </w:tc>
        <w:tc>
          <w:tcPr>
            <w:tcW w:w="849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القياس الثالث</w:t>
            </w:r>
          </w:p>
        </w:tc>
        <w:tc>
          <w:tcPr>
            <w:tcW w:w="132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معدل تركيز</w:t>
            </w:r>
          </w:p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الملوث</w:t>
            </w:r>
          </w:p>
        </w:tc>
        <w:tc>
          <w:tcPr>
            <w:tcW w:w="157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مستوى التحمل</w:t>
            </w:r>
          </w:p>
        </w:tc>
        <w:tc>
          <w:tcPr>
            <w:tcW w:w="158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درجة الخطورة</w:t>
            </w:r>
          </w:p>
        </w:tc>
      </w:tr>
      <w:tr w:rsidR="000C239B" w:rsidRPr="00747AC0" w:rsidTr="001F2EC3">
        <w:tc>
          <w:tcPr>
            <w:tcW w:w="1586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CO</w:t>
            </w: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</w:t>
            </w:r>
          </w:p>
        </w:tc>
        <w:tc>
          <w:tcPr>
            <w:tcW w:w="840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9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49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2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7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0C239B" w:rsidRPr="00747AC0" w:rsidTr="001F2EC3">
        <w:tc>
          <w:tcPr>
            <w:tcW w:w="1586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NO</w:t>
            </w: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</w:t>
            </w:r>
          </w:p>
        </w:tc>
        <w:tc>
          <w:tcPr>
            <w:tcW w:w="840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9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49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2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7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0C239B" w:rsidRPr="00747AC0" w:rsidTr="001F2EC3">
        <w:tc>
          <w:tcPr>
            <w:tcW w:w="1586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المواد الجسيمية (</w:t>
            </w: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PM</w:t>
            </w: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2.5</w:t>
            </w:r>
            <w:r w:rsidRPr="00747AC0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840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9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49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32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73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7" w:type="dxa"/>
          </w:tcPr>
          <w:p w:rsidR="000C239B" w:rsidRPr="00747AC0" w:rsidRDefault="000C239B" w:rsidP="001F2EC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0C239B" w:rsidRPr="00747AC0" w:rsidRDefault="000C239B" w:rsidP="000C239B">
      <w:pPr>
        <w:bidi/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0C239B" w:rsidRPr="00747AC0" w:rsidRDefault="000C239B" w:rsidP="000C239B">
      <w:pPr>
        <w:bidi/>
        <w:jc w:val="both"/>
        <w:rPr>
          <w:rFonts w:ascii="Simplified Arabic" w:eastAsia="Calibri" w:hAnsi="Simplified Arabic" w:cs="Simplified Arabic"/>
          <w:sz w:val="10"/>
          <w:szCs w:val="10"/>
          <w:rtl/>
          <w:lang w:bidi="ar-IQ"/>
        </w:rPr>
      </w:pPr>
    </w:p>
    <w:p w:rsidR="000C239B" w:rsidRPr="006B74EF" w:rsidRDefault="000C239B" w:rsidP="000C239B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6B74E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اجراء تحويل للوحدات المقاسة للملوثات فمثلا تحويل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ppm</w:t>
      </w:r>
      <w:r w:rsidRPr="006B74E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الى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m</w:t>
      </w:r>
      <w:r w:rsidRPr="006B74EF">
        <w:rPr>
          <w:rFonts w:ascii="Simplified Arabic" w:eastAsia="Calibri" w:hAnsi="Simplified Arabic" w:cs="Simplified Arabic"/>
          <w:sz w:val="28"/>
          <w:szCs w:val="28"/>
          <w:lang w:bidi="ar-IQ"/>
        </w:rPr>
        <w:t>g/m</w:t>
      </w:r>
      <w:r>
        <w:rPr>
          <w:rFonts w:ascii="Simplified Arabic" w:eastAsia="Calibri" w:hAnsi="Simplified Arabic" w:cs="Simplified Arabic"/>
          <w:sz w:val="28"/>
          <w:szCs w:val="28"/>
          <w:vertAlign w:val="superscript"/>
          <w:lang w:bidi="ar-IQ"/>
        </w:rPr>
        <w:t>3</w:t>
      </w:r>
      <w:r w:rsidRPr="006B74E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0C239B" w:rsidRDefault="000C239B" w:rsidP="000C239B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lastRenderedPageBreak/>
        <w:t>5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المواد الجسيمية يتم اخذها من محطة قياس كمية الغبار عن القطر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10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Arial" w:eastAsia="Calibri" w:hAnsi="Arial" w:cs="Arial"/>
          <w:sz w:val="28"/>
          <w:szCs w:val="28"/>
          <w:lang w:bidi="ar-IQ"/>
        </w:rPr>
        <w:t>μ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m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PM</w:t>
      </w:r>
      <w:r>
        <w:rPr>
          <w:rFonts w:ascii="Simplified Arabic" w:eastAsia="Calibri" w:hAnsi="Simplified Arabic" w:cs="Simplified Arabic"/>
          <w:sz w:val="28"/>
          <w:szCs w:val="28"/>
          <w:vertAlign w:val="subscript"/>
          <w:lang w:bidi="ar-IQ"/>
        </w:rPr>
        <w:t>10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ومن ثم يتم تحويلها الى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m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g/m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perscript"/>
          <w:lang w:bidi="ar-IQ"/>
        </w:rPr>
        <w:t>3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ومقارنتها مع مستوى الاحتمال 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ـ </w:t>
      </w:r>
      <w:r w:rsidRPr="00502966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لاستخراج معامل التاثير.</w:t>
      </w:r>
    </w:p>
    <w:p w:rsidR="000C239B" w:rsidRPr="00747AC0" w:rsidRDefault="000C239B" w:rsidP="000C239B">
      <w:pPr>
        <w:bidi/>
        <w:rPr>
          <w:rFonts w:ascii="Simplified Arabic" w:eastAsia="Times New Roman" w:hAnsi="Simplified Arabic" w:cs="Simplified Arabic"/>
          <w:b/>
          <w:bCs/>
          <w:sz w:val="16"/>
          <w:szCs w:val="16"/>
          <w:rtl/>
          <w:lang w:bidi="ar-IQ"/>
        </w:rPr>
      </w:pPr>
    </w:p>
    <w:p w:rsidR="000C239B" w:rsidRPr="00AF63BB" w:rsidRDefault="000C239B" w:rsidP="000C239B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F63B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المناقشة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لماذا يعتبر </w:t>
      </w:r>
      <w:r w:rsidRPr="00087193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مقياس لحساب مستوى الاحتمال ومعامل التاثير ومعامل التاثير في تجربة تحديد الخطورة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لبعض الملوثات الجوية والجسيمات؟</w:t>
      </w:r>
    </w:p>
    <w:p w:rsidR="000C239B" w:rsidRPr="007A46A8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هي النسب لخطورة </w:t>
      </w:r>
      <w:r w:rsidRPr="00087193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نسبة الى باقي الملوثات الاخرى؟</w:t>
      </w:r>
    </w:p>
    <w:p w:rsidR="000C239B" w:rsidRPr="007A46A8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 ما هي العلاقة بين مستوى الاحتمال وبين معامل التاثير ولماذا؟</w:t>
      </w:r>
    </w:p>
    <w:p w:rsidR="000C239B" w:rsidRPr="007A46A8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هي العلاقة بين مستوى الاحتمال ودرجة الخطورة ولماذا؟</w:t>
      </w:r>
    </w:p>
    <w:p w:rsidR="000C239B" w:rsidRPr="007A46A8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ايهما اكثر خطورة </w:t>
      </w:r>
      <w:r w:rsidRPr="00087193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087193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 w:rsidRPr="00087193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 </w:t>
      </w:r>
      <w:r w:rsidRPr="00087193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عند التركيز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300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m</w:t>
      </w:r>
      <w:r w:rsidRPr="007A46A8">
        <w:rPr>
          <w:rFonts w:ascii="Simplified Arabic" w:eastAsia="Calibri" w:hAnsi="Simplified Arabic" w:cs="Simplified Arabic"/>
          <w:sz w:val="28"/>
          <w:szCs w:val="28"/>
          <w:lang w:bidi="ar-IQ"/>
        </w:rPr>
        <w:t>g/m</w:t>
      </w:r>
      <w:r w:rsidRPr="007A46A8">
        <w:rPr>
          <w:rFonts w:ascii="Simplified Arabic" w:eastAsia="Calibri" w:hAnsi="Simplified Arabic" w:cs="Simplified Arabic"/>
          <w:sz w:val="28"/>
          <w:szCs w:val="28"/>
          <w:vertAlign w:val="superscript"/>
          <w:lang w:bidi="ar-IQ"/>
        </w:rPr>
        <w:t>3</w:t>
      </w:r>
      <w:r w:rsidRPr="007A46A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متساوي للطرفين؟</w:t>
      </w:r>
    </w:p>
    <w:p w:rsidR="000C239B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4B019A"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الجواب: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------------------------------------------------------------------------------------------------------------.</w:t>
      </w:r>
    </w:p>
    <w:p w:rsidR="000C239B" w:rsidRPr="004B019A" w:rsidRDefault="000C239B" w:rsidP="000C239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0C239B" w:rsidRDefault="000C239B" w:rsidP="000C239B">
      <w:p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7721E" w:rsidRDefault="00C7721E" w:rsidP="000C239B">
      <w:pPr>
        <w:bidi/>
      </w:pPr>
    </w:p>
    <w:sectPr w:rsidR="00C7721E" w:rsidSect="000C239B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6E"/>
    <w:rsid w:val="000C239B"/>
    <w:rsid w:val="0010780F"/>
    <w:rsid w:val="002934B5"/>
    <w:rsid w:val="0047498C"/>
    <w:rsid w:val="005E1C6E"/>
    <w:rsid w:val="00A3182B"/>
    <w:rsid w:val="00C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/>
</file>

<file path=customXml/itemProps1.xml><?xml version="1.0" encoding="utf-8"?>
<ds:datastoreItem xmlns:ds="http://schemas.openxmlformats.org/officeDocument/2006/customXml" ds:itemID="{C5F4E2EA-9282-43A6-A8B4-786C1860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 Алхалидый</dc:creator>
  <cp:lastModifiedBy>Dell N5030</cp:lastModifiedBy>
  <cp:revision>3</cp:revision>
  <dcterms:created xsi:type="dcterms:W3CDTF">2018-10-16T17:58:00Z</dcterms:created>
  <dcterms:modified xsi:type="dcterms:W3CDTF">2018-10-16T17:58:00Z</dcterms:modified>
</cp:coreProperties>
</file>