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74946" w14:textId="4F171E8F" w:rsidR="00B01F38" w:rsidRDefault="00B01F38" w:rsidP="00B01F38">
      <w:pPr>
        <w:pBdr>
          <w:bottom w:val="single" w:sz="4" w:space="1" w:color="auto"/>
        </w:pBdr>
        <w:rPr>
          <w:rFonts w:asciiTheme="majorBidi" w:hAnsiTheme="majorBidi" w:cstheme="majorBidi"/>
          <w:sz w:val="24"/>
          <w:szCs w:val="24"/>
        </w:rPr>
      </w:pPr>
      <w:r>
        <w:rPr>
          <w:rFonts w:asciiTheme="majorBidi" w:hAnsiTheme="majorBidi" w:cstheme="majorBidi"/>
          <w:sz w:val="24"/>
          <w:szCs w:val="24"/>
        </w:rPr>
        <w:t>Lec.</w:t>
      </w:r>
      <w:r w:rsidR="00DA58C8">
        <w:rPr>
          <w:rFonts w:asciiTheme="majorBidi" w:hAnsiTheme="majorBidi" w:cstheme="majorBidi"/>
          <w:sz w:val="24"/>
          <w:szCs w:val="24"/>
        </w:rPr>
        <w:t>9</w:t>
      </w:r>
      <w:r>
        <w:rPr>
          <w:rFonts w:asciiTheme="majorBidi" w:hAnsiTheme="majorBidi" w:cstheme="majorBidi"/>
          <w:sz w:val="24"/>
          <w:szCs w:val="24"/>
        </w:rPr>
        <w:t xml:space="preserve"> </w:t>
      </w:r>
      <w:r w:rsidR="00627CE4">
        <w:rPr>
          <w:rFonts w:asciiTheme="majorBidi" w:hAnsiTheme="majorBidi" w:cstheme="majorBidi"/>
          <w:sz w:val="28"/>
          <w:szCs w:val="28"/>
        </w:rPr>
        <w:t xml:space="preserve">&amp; </w:t>
      </w:r>
      <w:r w:rsidR="00DA58C8">
        <w:rPr>
          <w:rFonts w:asciiTheme="majorBidi" w:hAnsiTheme="majorBidi" w:cstheme="majorBidi"/>
          <w:sz w:val="28"/>
          <w:szCs w:val="28"/>
        </w:rPr>
        <w:t>10</w:t>
      </w:r>
      <w:r>
        <w:rPr>
          <w:rFonts w:asciiTheme="majorBidi" w:hAnsiTheme="majorBidi" w:cstheme="majorBidi"/>
          <w:sz w:val="24"/>
          <w:szCs w:val="24"/>
        </w:rPr>
        <w:t xml:space="preserve">                                              Ground Water Pollution                                                  4</w:t>
      </w:r>
      <w:r w:rsidRPr="00BA06DF">
        <w:rPr>
          <w:rFonts w:asciiTheme="majorBidi" w:hAnsiTheme="majorBidi" w:cstheme="majorBidi"/>
          <w:sz w:val="24"/>
          <w:szCs w:val="24"/>
          <w:vertAlign w:val="superscript"/>
        </w:rPr>
        <w:t>th</w:t>
      </w:r>
      <w:r>
        <w:rPr>
          <w:rFonts w:asciiTheme="majorBidi" w:hAnsiTheme="majorBidi" w:cstheme="majorBidi"/>
          <w:sz w:val="24"/>
          <w:szCs w:val="24"/>
        </w:rPr>
        <w:t xml:space="preserve"> class</w:t>
      </w:r>
    </w:p>
    <w:p w14:paraId="7486C43B" w14:textId="2CF8D298" w:rsidR="003154D3" w:rsidRDefault="003154D3" w:rsidP="00F9333B">
      <w:pPr>
        <w:jc w:val="center"/>
        <w:rPr>
          <w:rFonts w:asciiTheme="majorBidi" w:hAnsiTheme="majorBidi" w:cstheme="majorBidi"/>
          <w:b/>
          <w:bCs/>
          <w:sz w:val="28"/>
          <w:szCs w:val="28"/>
          <w:u w:val="single"/>
        </w:rPr>
      </w:pPr>
    </w:p>
    <w:p w14:paraId="004E650E" w14:textId="3DC81076" w:rsidR="00537822" w:rsidRDefault="00A143AF" w:rsidP="00A143AF">
      <w:pPr>
        <w:autoSpaceDE w:val="0"/>
        <w:autoSpaceDN w:val="0"/>
        <w:adjustRightInd w:val="0"/>
        <w:spacing w:after="0" w:line="240" w:lineRule="auto"/>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Contaminant Fate Processes</w:t>
      </w:r>
    </w:p>
    <w:p w14:paraId="3F2C5DF4" w14:textId="241D2EC3" w:rsidR="00A143AF" w:rsidRDefault="00A143AF" w:rsidP="00A143AF">
      <w:pPr>
        <w:autoSpaceDE w:val="0"/>
        <w:autoSpaceDN w:val="0"/>
        <w:adjustRightInd w:val="0"/>
        <w:spacing w:after="0" w:line="240" w:lineRule="auto"/>
        <w:jc w:val="center"/>
        <w:rPr>
          <w:rFonts w:ascii="Times New Roman" w:hAnsi="Times New Roman" w:cs="Times New Roman"/>
          <w:b/>
          <w:bCs/>
          <w:color w:val="000000"/>
          <w:sz w:val="28"/>
          <w:szCs w:val="28"/>
        </w:rPr>
      </w:pPr>
    </w:p>
    <w:p w14:paraId="0E97AF82" w14:textId="7A24C128" w:rsidR="00A143AF" w:rsidRDefault="00A143AF" w:rsidP="00A143A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The distribution and concentration of contaminants in ground water systems is strongly influenced by interactions between the contaminant and the physical, chemical, and biological components of the subsurface. Collectively, these interactions are referred to as </w:t>
      </w:r>
      <w:r w:rsidRPr="00A143AF">
        <w:rPr>
          <w:rFonts w:ascii="Times New Roman" w:hAnsi="Times New Roman" w:cs="Times New Roman"/>
          <w:b/>
          <w:bCs/>
          <w:color w:val="000000"/>
          <w:sz w:val="28"/>
          <w:szCs w:val="28"/>
        </w:rPr>
        <w:t>fate processes</w:t>
      </w:r>
      <w:r>
        <w:rPr>
          <w:rFonts w:ascii="Times New Roman" w:hAnsi="Times New Roman" w:cs="Times New Roman"/>
          <w:color w:val="000000"/>
          <w:sz w:val="28"/>
          <w:szCs w:val="28"/>
        </w:rPr>
        <w:t xml:space="preserve">. In some cases, fate processes result in the alteration of the contaminants chemical structure ultimately resulting in the formation of nonhazardous compounds. Other </w:t>
      </w:r>
      <w:r w:rsidR="006436A7">
        <w:rPr>
          <w:rFonts w:ascii="Times New Roman" w:hAnsi="Times New Roman" w:cs="Times New Roman"/>
          <w:color w:val="000000"/>
          <w:sz w:val="28"/>
          <w:szCs w:val="28"/>
        </w:rPr>
        <w:t>fate processes result in a phase change, without altering the compounds chemical structure. In other case, fate processes must be considered during the evaluation of contaminant transport to accurately describe or predict the behavior of contaminants in ground water systems.</w:t>
      </w:r>
    </w:p>
    <w:p w14:paraId="2D4709CA" w14:textId="6F131477" w:rsidR="006436A7" w:rsidRDefault="00B71384" w:rsidP="00A143AF">
      <w:pPr>
        <w:autoSpaceDE w:val="0"/>
        <w:autoSpaceDN w:val="0"/>
        <w:adjustRightInd w:val="0"/>
        <w:spacing w:after="0" w:line="240" w:lineRule="auto"/>
        <w:jc w:val="both"/>
        <w:rPr>
          <w:rFonts w:ascii="Times New Roman" w:hAnsi="Times New Roman" w:cs="Times New Roman"/>
          <w:color w:val="000000"/>
          <w:sz w:val="28"/>
          <w:szCs w:val="28"/>
        </w:rPr>
      </w:pPr>
      <w:r>
        <w:rPr>
          <w:noProof/>
        </w:rPr>
        <w:drawing>
          <wp:anchor distT="0" distB="0" distL="114300" distR="114300" simplePos="0" relativeHeight="251658240" behindDoc="1" locked="0" layoutInCell="1" allowOverlap="1" wp14:anchorId="211C5DF3" wp14:editId="668406AF">
            <wp:simplePos x="0" y="0"/>
            <wp:positionH relativeFrom="column">
              <wp:posOffset>504190</wp:posOffset>
            </wp:positionH>
            <wp:positionV relativeFrom="paragraph">
              <wp:posOffset>201930</wp:posOffset>
            </wp:positionV>
            <wp:extent cx="5343525" cy="4422775"/>
            <wp:effectExtent l="0" t="0" r="9525" b="0"/>
            <wp:wrapTight wrapText="bothSides">
              <wp:wrapPolygon edited="0">
                <wp:start x="0" y="0"/>
                <wp:lineTo x="0" y="21491"/>
                <wp:lineTo x="21561" y="21491"/>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887" r="8631"/>
                    <a:stretch/>
                  </pic:blipFill>
                  <pic:spPr bwMode="auto">
                    <a:xfrm>
                      <a:off x="0" y="0"/>
                      <a:ext cx="5343525" cy="442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AA64389" w14:textId="4E002751" w:rsidR="006436A7" w:rsidRDefault="006436A7" w:rsidP="00A143AF">
      <w:pPr>
        <w:autoSpaceDE w:val="0"/>
        <w:autoSpaceDN w:val="0"/>
        <w:adjustRightInd w:val="0"/>
        <w:spacing w:after="0" w:line="240" w:lineRule="auto"/>
        <w:jc w:val="both"/>
        <w:rPr>
          <w:rFonts w:ascii="Times New Roman" w:hAnsi="Times New Roman" w:cs="Times New Roman"/>
          <w:color w:val="000000"/>
          <w:sz w:val="28"/>
          <w:szCs w:val="28"/>
        </w:rPr>
      </w:pPr>
    </w:p>
    <w:p w14:paraId="1C983399" w14:textId="16003DB7" w:rsidR="00B71384" w:rsidRDefault="00B71384" w:rsidP="00A143AF">
      <w:pPr>
        <w:autoSpaceDE w:val="0"/>
        <w:autoSpaceDN w:val="0"/>
        <w:adjustRightInd w:val="0"/>
        <w:spacing w:after="0" w:line="240" w:lineRule="auto"/>
        <w:jc w:val="both"/>
        <w:rPr>
          <w:rFonts w:ascii="Times New Roman" w:hAnsi="Times New Roman" w:cs="Times New Roman"/>
          <w:color w:val="000000"/>
          <w:sz w:val="28"/>
          <w:szCs w:val="28"/>
        </w:rPr>
      </w:pPr>
    </w:p>
    <w:p w14:paraId="224C53BF" w14:textId="65507B0E" w:rsidR="00B71384" w:rsidRDefault="00B71384" w:rsidP="00A143AF">
      <w:pPr>
        <w:autoSpaceDE w:val="0"/>
        <w:autoSpaceDN w:val="0"/>
        <w:adjustRightInd w:val="0"/>
        <w:spacing w:after="0" w:line="240" w:lineRule="auto"/>
        <w:jc w:val="both"/>
        <w:rPr>
          <w:rFonts w:ascii="Times New Roman" w:hAnsi="Times New Roman" w:cs="Times New Roman"/>
          <w:color w:val="000000"/>
          <w:sz w:val="28"/>
          <w:szCs w:val="28"/>
        </w:rPr>
      </w:pPr>
      <w:r>
        <w:rPr>
          <w:noProof/>
        </w:rPr>
        <w:lastRenderedPageBreak/>
        <w:drawing>
          <wp:anchor distT="0" distB="0" distL="114300" distR="114300" simplePos="0" relativeHeight="251659264" behindDoc="1" locked="0" layoutInCell="1" allowOverlap="1" wp14:anchorId="6D0D5121" wp14:editId="7A6BA91F">
            <wp:simplePos x="0" y="0"/>
            <wp:positionH relativeFrom="margin">
              <wp:posOffset>294640</wp:posOffset>
            </wp:positionH>
            <wp:positionV relativeFrom="paragraph">
              <wp:posOffset>0</wp:posOffset>
            </wp:positionV>
            <wp:extent cx="6105525" cy="5120640"/>
            <wp:effectExtent l="0" t="0" r="9525" b="3810"/>
            <wp:wrapTight wrapText="bothSides">
              <wp:wrapPolygon edited="0">
                <wp:start x="0" y="0"/>
                <wp:lineTo x="0" y="21536"/>
                <wp:lineTo x="21566" y="21536"/>
                <wp:lineTo x="215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613"/>
                    <a:stretch/>
                  </pic:blipFill>
                  <pic:spPr bwMode="auto">
                    <a:xfrm>
                      <a:off x="0" y="0"/>
                      <a:ext cx="6105525" cy="512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4FD467E" w14:textId="6D054176" w:rsidR="00B71384" w:rsidRDefault="00B71384" w:rsidP="00A143AF">
      <w:pPr>
        <w:autoSpaceDE w:val="0"/>
        <w:autoSpaceDN w:val="0"/>
        <w:adjustRightInd w:val="0"/>
        <w:spacing w:after="0" w:line="240" w:lineRule="auto"/>
        <w:jc w:val="both"/>
        <w:rPr>
          <w:rFonts w:ascii="Times New Roman" w:hAnsi="Times New Roman" w:cs="Times New Roman"/>
          <w:color w:val="000000"/>
          <w:sz w:val="28"/>
          <w:szCs w:val="28"/>
        </w:rPr>
      </w:pPr>
    </w:p>
    <w:p w14:paraId="73DF10C0" w14:textId="184F96EE" w:rsidR="00E21611" w:rsidRPr="00E21611" w:rsidRDefault="00E21611" w:rsidP="00A143AF">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E21611">
        <w:rPr>
          <w:rFonts w:ascii="Times New Roman" w:hAnsi="Times New Roman" w:cs="Times New Roman"/>
          <w:b/>
          <w:bCs/>
          <w:color w:val="000000"/>
          <w:sz w:val="28"/>
          <w:szCs w:val="28"/>
          <w:u w:val="single"/>
        </w:rPr>
        <w:t xml:space="preserve">Sorption and Desorption </w:t>
      </w:r>
    </w:p>
    <w:p w14:paraId="405DEAEC" w14:textId="6E0A3DFE" w:rsidR="00E21611" w:rsidRPr="00E21611" w:rsidRDefault="00E21611" w:rsidP="00A143AF">
      <w:pPr>
        <w:autoSpaceDE w:val="0"/>
        <w:autoSpaceDN w:val="0"/>
        <w:adjustRightInd w:val="0"/>
        <w:spacing w:after="0" w:line="240" w:lineRule="auto"/>
        <w:jc w:val="both"/>
        <w:rPr>
          <w:rFonts w:ascii="Times New Roman" w:hAnsi="Times New Roman" w:cs="Times New Roman"/>
          <w:b/>
          <w:bCs/>
          <w:color w:val="000000"/>
          <w:sz w:val="28"/>
          <w:szCs w:val="28"/>
          <w:u w:val="single"/>
        </w:rPr>
      </w:pPr>
    </w:p>
    <w:p w14:paraId="2FD4945B" w14:textId="52456E88" w:rsidR="00523B54" w:rsidRDefault="00523B54" w:rsidP="00523B54">
      <w:pPr>
        <w:autoSpaceDE w:val="0"/>
        <w:autoSpaceDN w:val="0"/>
        <w:adjustRightInd w:val="0"/>
        <w:spacing w:after="0" w:line="240" w:lineRule="auto"/>
        <w:jc w:val="both"/>
        <w:rPr>
          <w:rFonts w:ascii="Times New Roman" w:hAnsi="Times New Roman" w:cs="Times New Roman"/>
          <w:color w:val="000000"/>
          <w:sz w:val="28"/>
          <w:szCs w:val="28"/>
        </w:rPr>
      </w:pPr>
      <w:r w:rsidRPr="00523B54">
        <w:rPr>
          <w:rFonts w:ascii="Times New Roman" w:hAnsi="Times New Roman" w:cs="Times New Roman"/>
          <w:color w:val="000000"/>
          <w:sz w:val="28"/>
          <w:szCs w:val="28"/>
        </w:rPr>
        <w:t xml:space="preserve">Most solutes transported with the groundwater will display some interaction with the groundwater medium. </w:t>
      </w:r>
      <w:r w:rsidRPr="00523B54">
        <w:rPr>
          <w:rFonts w:ascii="Times New Roman" w:hAnsi="Times New Roman" w:cs="Times New Roman"/>
          <w:b/>
          <w:bCs/>
          <w:color w:val="000000"/>
          <w:sz w:val="28"/>
          <w:szCs w:val="28"/>
        </w:rPr>
        <w:t>Sorption</w:t>
      </w:r>
      <w:r w:rsidRPr="00523B54">
        <w:rPr>
          <w:rFonts w:ascii="Times New Roman" w:hAnsi="Times New Roman" w:cs="Times New Roman"/>
          <w:color w:val="000000"/>
          <w:sz w:val="28"/>
          <w:szCs w:val="28"/>
        </w:rPr>
        <w:t xml:space="preserve"> is the process in which solutes partition from the groundwater and adhere to the grain particles of the geological medium. Sorption is</w:t>
      </w:r>
      <w:r>
        <w:rPr>
          <w:rFonts w:ascii="Times New Roman" w:hAnsi="Times New Roman" w:cs="Times New Roman"/>
          <w:color w:val="000000"/>
          <w:sz w:val="28"/>
          <w:szCs w:val="28"/>
        </w:rPr>
        <w:t xml:space="preserve"> </w:t>
      </w:r>
      <w:r w:rsidRPr="00523B54">
        <w:rPr>
          <w:rFonts w:ascii="Times New Roman" w:hAnsi="Times New Roman" w:cs="Times New Roman"/>
          <w:color w:val="000000"/>
          <w:sz w:val="28"/>
          <w:szCs w:val="28"/>
        </w:rPr>
        <w:t xml:space="preserve">caused by a variety of mechanisms including </w:t>
      </w:r>
      <w:r w:rsidR="007B2099">
        <w:rPr>
          <w:rFonts w:ascii="Times New Roman" w:hAnsi="Times New Roman" w:cs="Times New Roman"/>
          <w:b/>
          <w:bCs/>
          <w:color w:val="000000"/>
          <w:sz w:val="28"/>
          <w:szCs w:val="28"/>
        </w:rPr>
        <w:t>v</w:t>
      </w:r>
      <w:r w:rsidRPr="007B2099">
        <w:rPr>
          <w:rFonts w:ascii="Times New Roman" w:hAnsi="Times New Roman" w:cs="Times New Roman"/>
          <w:b/>
          <w:bCs/>
          <w:color w:val="000000"/>
          <w:sz w:val="28"/>
          <w:szCs w:val="28"/>
        </w:rPr>
        <w:t>an der Waals forces</w:t>
      </w:r>
      <w:r>
        <w:rPr>
          <w:rFonts w:ascii="Times New Roman" w:hAnsi="Times New Roman" w:cs="Times New Roman"/>
          <w:color w:val="000000"/>
          <w:sz w:val="28"/>
          <w:szCs w:val="28"/>
        </w:rPr>
        <w:t xml:space="preserve"> </w:t>
      </w:r>
      <w:r w:rsidRPr="007B2099">
        <w:rPr>
          <w:rFonts w:ascii="Times New Roman" w:hAnsi="Times New Roman" w:cs="Times New Roman"/>
          <w:color w:val="000000"/>
          <w:sz w:val="28"/>
          <w:szCs w:val="28"/>
          <w:u w:val="single"/>
        </w:rPr>
        <w:t>(</w:t>
      </w:r>
      <w:r w:rsidR="007B2099" w:rsidRPr="007B2099">
        <w:rPr>
          <w:rFonts w:ascii="Times New Roman" w:hAnsi="Times New Roman" w:cs="Times New Roman"/>
          <w:color w:val="000000"/>
          <w:sz w:val="28"/>
          <w:szCs w:val="28"/>
          <w:u w:val="single"/>
        </w:rPr>
        <w:t xml:space="preserve"> </w:t>
      </w:r>
      <w:r w:rsidR="007B2099">
        <w:rPr>
          <w:rFonts w:ascii="Times New Roman" w:hAnsi="Times New Roman" w:cs="Times New Roman"/>
          <w:color w:val="000000"/>
          <w:sz w:val="28"/>
          <w:szCs w:val="28"/>
          <w:u w:val="single"/>
        </w:rPr>
        <w:t xml:space="preserve"> it </w:t>
      </w:r>
      <w:r w:rsidRPr="007B2099">
        <w:rPr>
          <w:rFonts w:asciiTheme="majorBidi" w:hAnsiTheme="majorBidi" w:cstheme="majorBidi"/>
          <w:color w:val="282828"/>
          <w:sz w:val="28"/>
          <w:szCs w:val="28"/>
          <w:u w:val="single"/>
          <w:shd w:val="clear" w:color="auto" w:fill="FFFFFF"/>
        </w:rPr>
        <w:t>are the sum of the attractive and repulsive electrical forces between atoms and molecules</w:t>
      </w:r>
      <w:r w:rsidR="002C4365" w:rsidRPr="007B2099">
        <w:rPr>
          <w:rFonts w:asciiTheme="majorBidi" w:hAnsiTheme="majorBidi" w:cstheme="majorBidi" w:hint="cs"/>
          <w:color w:val="282828"/>
          <w:sz w:val="28"/>
          <w:szCs w:val="28"/>
          <w:u w:val="single"/>
          <w:shd w:val="clear" w:color="auto" w:fill="FFFFFF"/>
          <w:rtl/>
        </w:rPr>
        <w:t>(</w:t>
      </w:r>
      <w:r w:rsidRPr="00523B54">
        <w:rPr>
          <w:rFonts w:asciiTheme="majorBidi" w:hAnsiTheme="majorBidi" w:cstheme="majorBidi"/>
          <w:color w:val="282828"/>
          <w:sz w:val="28"/>
          <w:szCs w:val="28"/>
          <w:shd w:val="clear" w:color="auto" w:fill="FFFFFF"/>
        </w:rPr>
        <w:t xml:space="preserve">, </w:t>
      </w:r>
      <w:r w:rsidRPr="00523B54">
        <w:rPr>
          <w:rFonts w:ascii="Times New Roman" w:hAnsi="Times New Roman" w:cs="Times New Roman"/>
          <w:color w:val="000000"/>
          <w:sz w:val="28"/>
          <w:szCs w:val="28"/>
        </w:rPr>
        <w:t xml:space="preserve"> </w:t>
      </w:r>
      <w:r w:rsidRPr="007B2099">
        <w:rPr>
          <w:rFonts w:ascii="Times New Roman" w:hAnsi="Times New Roman" w:cs="Times New Roman"/>
          <w:b/>
          <w:bCs/>
          <w:color w:val="000000"/>
          <w:sz w:val="28"/>
          <w:szCs w:val="28"/>
        </w:rPr>
        <w:t>hydrogen bonding</w:t>
      </w:r>
      <w:r w:rsidR="002C4365">
        <w:rPr>
          <w:rFonts w:ascii="Times New Roman" w:hAnsi="Times New Roman" w:cs="Times New Roman"/>
          <w:color w:val="000000"/>
          <w:sz w:val="28"/>
          <w:szCs w:val="28"/>
        </w:rPr>
        <w:t xml:space="preserve"> ( </w:t>
      </w:r>
      <w:r w:rsidR="007B2099" w:rsidRPr="007B2099">
        <w:rPr>
          <w:rFonts w:asciiTheme="majorBidi" w:hAnsiTheme="majorBidi" w:cstheme="majorBidi"/>
          <w:color w:val="222222"/>
          <w:sz w:val="28"/>
          <w:szCs w:val="28"/>
          <w:u w:val="single"/>
          <w:shd w:val="clear" w:color="auto" w:fill="FFFFFF"/>
        </w:rPr>
        <w:t xml:space="preserve">a </w:t>
      </w:r>
      <w:r w:rsidR="002C4365" w:rsidRPr="007B2099">
        <w:rPr>
          <w:rFonts w:asciiTheme="majorBidi" w:hAnsiTheme="majorBidi" w:cstheme="majorBidi"/>
          <w:color w:val="222222"/>
          <w:sz w:val="28"/>
          <w:szCs w:val="28"/>
          <w:u w:val="single"/>
          <w:shd w:val="clear" w:color="auto" w:fill="FFFFFF"/>
        </w:rPr>
        <w:t>chemical bond formed between an electropositive atom (typically hydrogen) and a strongly electronegative atom, such as oxygen or nitrogen. Hydrogen bonds are responsible for the bonding of water molecules in liquid and solid states, and are weaker than covalent and ionic bonds</w:t>
      </w:r>
      <w:r w:rsidR="002C4365">
        <w:rPr>
          <w:rFonts w:asciiTheme="majorBidi" w:hAnsiTheme="majorBidi" w:cstheme="majorBidi"/>
          <w:color w:val="222222"/>
          <w:sz w:val="28"/>
          <w:szCs w:val="28"/>
          <w:shd w:val="clear" w:color="auto" w:fill="FFFFFF"/>
        </w:rPr>
        <w:t xml:space="preserve">) </w:t>
      </w:r>
      <w:r w:rsidRPr="00523B54">
        <w:rPr>
          <w:rFonts w:ascii="Times New Roman" w:hAnsi="Times New Roman" w:cs="Times New Roman"/>
          <w:color w:val="000000"/>
          <w:sz w:val="28"/>
          <w:szCs w:val="28"/>
        </w:rPr>
        <w:t xml:space="preserve">, </w:t>
      </w:r>
      <w:r w:rsidRPr="007B2099">
        <w:rPr>
          <w:rFonts w:ascii="Times New Roman" w:hAnsi="Times New Roman" w:cs="Times New Roman"/>
          <w:b/>
          <w:bCs/>
          <w:color w:val="000000"/>
          <w:sz w:val="28"/>
          <w:szCs w:val="28"/>
        </w:rPr>
        <w:t>hydrophobic forces</w:t>
      </w:r>
      <w:r w:rsidR="00BE6B4D">
        <w:rPr>
          <w:rFonts w:ascii="Times New Roman" w:hAnsi="Times New Roman" w:cs="Times New Roman"/>
          <w:color w:val="000000"/>
          <w:sz w:val="28"/>
          <w:szCs w:val="28"/>
        </w:rPr>
        <w:t xml:space="preserve"> ( </w:t>
      </w:r>
      <w:r w:rsidR="007B2099" w:rsidRPr="007B2099">
        <w:rPr>
          <w:rFonts w:ascii="Times New Roman" w:hAnsi="Times New Roman" w:cs="Times New Roman"/>
          <w:color w:val="000000"/>
          <w:sz w:val="28"/>
          <w:szCs w:val="28"/>
          <w:u w:val="single"/>
        </w:rPr>
        <w:t>hydrophobic forces reflect the tendency of a polar molecules to partition from an aqueous environment to a hydrophobic one</w:t>
      </w:r>
      <w:r w:rsidR="007B2099">
        <w:rPr>
          <w:rFonts w:ascii="Times New Roman" w:hAnsi="Times New Roman" w:cs="Times New Roman"/>
          <w:color w:val="000000"/>
          <w:sz w:val="28"/>
          <w:szCs w:val="28"/>
        </w:rPr>
        <w:t>)</w:t>
      </w:r>
      <w:r w:rsidRPr="00523B54">
        <w:rPr>
          <w:rFonts w:ascii="Times New Roman" w:hAnsi="Times New Roman" w:cs="Times New Roman"/>
          <w:color w:val="000000"/>
          <w:sz w:val="28"/>
          <w:szCs w:val="28"/>
        </w:rPr>
        <w:t xml:space="preserve">, </w:t>
      </w:r>
      <w:r w:rsidR="000914E9">
        <w:rPr>
          <w:rFonts w:ascii="Times New Roman" w:hAnsi="Times New Roman" w:cs="Times New Roman"/>
          <w:b/>
          <w:bCs/>
          <w:color w:val="000000"/>
          <w:sz w:val="28"/>
          <w:szCs w:val="28"/>
        </w:rPr>
        <w:t>c</w:t>
      </w:r>
      <w:r w:rsidRPr="007B2099">
        <w:rPr>
          <w:rFonts w:ascii="Times New Roman" w:hAnsi="Times New Roman" w:cs="Times New Roman"/>
          <w:b/>
          <w:bCs/>
          <w:color w:val="000000"/>
          <w:sz w:val="28"/>
          <w:szCs w:val="28"/>
        </w:rPr>
        <w:t>oulomb forces</w:t>
      </w:r>
      <w:r w:rsidR="007B2099">
        <w:rPr>
          <w:rFonts w:ascii="Times New Roman" w:hAnsi="Times New Roman" w:cs="Times New Roman"/>
          <w:color w:val="000000"/>
          <w:sz w:val="28"/>
          <w:szCs w:val="28"/>
        </w:rPr>
        <w:t xml:space="preserve"> ( </w:t>
      </w:r>
      <w:r w:rsidR="007B2099" w:rsidRPr="007B2099">
        <w:rPr>
          <w:rFonts w:asciiTheme="majorBidi" w:hAnsiTheme="majorBidi" w:cstheme="majorBidi"/>
          <w:color w:val="1A1A1A"/>
          <w:sz w:val="28"/>
          <w:szCs w:val="28"/>
          <w:u w:val="single"/>
          <w:shd w:val="clear" w:color="auto" w:fill="FFFFFF"/>
        </w:rPr>
        <w:t xml:space="preserve">The force exerted by stationary objects bearing electric charge on </w:t>
      </w:r>
      <w:r w:rsidR="007B2099" w:rsidRPr="007B2099">
        <w:rPr>
          <w:rFonts w:asciiTheme="majorBidi" w:hAnsiTheme="majorBidi" w:cstheme="majorBidi"/>
          <w:color w:val="1A1A1A"/>
          <w:sz w:val="28"/>
          <w:szCs w:val="28"/>
          <w:u w:val="single"/>
          <w:shd w:val="clear" w:color="auto" w:fill="FFFFFF"/>
        </w:rPr>
        <w:lastRenderedPageBreak/>
        <w:t>other stationary objects bearing electric charge. If the charges are of the same sign, then the force is repulsive; if they are of opposite signs, the force is attractive</w:t>
      </w:r>
      <w:r w:rsidR="007B2099">
        <w:rPr>
          <w:rFonts w:ascii="Arial" w:hAnsi="Arial" w:cs="Arial"/>
          <w:color w:val="1A1A1A"/>
          <w:sz w:val="27"/>
          <w:szCs w:val="27"/>
          <w:shd w:val="clear" w:color="auto" w:fill="FFFFFF"/>
        </w:rPr>
        <w:t>)</w:t>
      </w:r>
      <w:r w:rsidR="007B2099">
        <w:rPr>
          <w:rFonts w:ascii="Times New Roman" w:hAnsi="Times New Roman" w:cs="Times New Roman"/>
          <w:color w:val="000000"/>
          <w:sz w:val="28"/>
          <w:szCs w:val="28"/>
        </w:rPr>
        <w:t xml:space="preserve"> </w:t>
      </w:r>
      <w:r w:rsidRPr="00523B54">
        <w:rPr>
          <w:rFonts w:ascii="Times New Roman" w:hAnsi="Times New Roman" w:cs="Times New Roman"/>
          <w:color w:val="000000"/>
          <w:sz w:val="28"/>
          <w:szCs w:val="28"/>
        </w:rPr>
        <w:t xml:space="preserve">, </w:t>
      </w:r>
      <w:r w:rsidRPr="007B2099">
        <w:rPr>
          <w:rFonts w:ascii="Times New Roman" w:hAnsi="Times New Roman" w:cs="Times New Roman"/>
          <w:b/>
          <w:bCs/>
          <w:color w:val="000000"/>
          <w:sz w:val="28"/>
          <w:szCs w:val="28"/>
        </w:rPr>
        <w:t>ligand exchange</w:t>
      </w:r>
      <w:r w:rsidR="007B2099">
        <w:rPr>
          <w:rFonts w:ascii="Times New Roman" w:hAnsi="Times New Roman" w:cs="Times New Roman"/>
          <w:b/>
          <w:bCs/>
          <w:color w:val="000000"/>
          <w:sz w:val="28"/>
          <w:szCs w:val="28"/>
        </w:rPr>
        <w:t xml:space="preserve"> </w:t>
      </w:r>
      <w:r w:rsidR="007B2099">
        <w:rPr>
          <w:rFonts w:ascii="Times New Roman" w:hAnsi="Times New Roman" w:cs="Times New Roman"/>
          <w:color w:val="000000"/>
          <w:sz w:val="28"/>
          <w:szCs w:val="28"/>
        </w:rPr>
        <w:t xml:space="preserve"> (</w:t>
      </w:r>
      <w:r w:rsidR="00C14EC7" w:rsidRPr="000914E9">
        <w:rPr>
          <w:rFonts w:asciiTheme="majorBidi" w:hAnsiTheme="majorBidi" w:cstheme="majorBidi"/>
          <w:color w:val="000000" w:themeColor="text1"/>
          <w:sz w:val="28"/>
          <w:szCs w:val="28"/>
          <w:u w:val="single"/>
          <w:shd w:val="clear" w:color="auto" w:fill="FFFFFF"/>
        </w:rPr>
        <w:t>is a type of </w:t>
      </w:r>
      <w:hyperlink r:id="rId10" w:tooltip="Chemical reaction" w:history="1">
        <w:r w:rsidR="00C14EC7" w:rsidRPr="000914E9">
          <w:rPr>
            <w:rStyle w:val="Hyperlink"/>
            <w:rFonts w:asciiTheme="majorBidi" w:hAnsiTheme="majorBidi" w:cstheme="majorBidi"/>
            <w:color w:val="000000" w:themeColor="text1"/>
            <w:sz w:val="28"/>
            <w:szCs w:val="28"/>
            <w:shd w:val="clear" w:color="auto" w:fill="FFFFFF"/>
          </w:rPr>
          <w:t>chemical reaction</w:t>
        </w:r>
      </w:hyperlink>
      <w:r w:rsidR="00C14EC7" w:rsidRPr="000914E9">
        <w:rPr>
          <w:rFonts w:asciiTheme="majorBidi" w:hAnsiTheme="majorBidi" w:cstheme="majorBidi"/>
          <w:color w:val="000000" w:themeColor="text1"/>
          <w:sz w:val="28"/>
          <w:szCs w:val="28"/>
          <w:u w:val="single"/>
          <w:shd w:val="clear" w:color="auto" w:fill="FFFFFF"/>
        </w:rPr>
        <w:t> in which a ligand in a compound is replaced by another. One type of pathway for substitution is the </w:t>
      </w:r>
      <w:hyperlink r:id="rId11" w:tooltip="Ligand dependent pathway" w:history="1">
        <w:r w:rsidR="00C14EC7" w:rsidRPr="000914E9">
          <w:rPr>
            <w:rStyle w:val="Hyperlink"/>
            <w:rFonts w:asciiTheme="majorBidi" w:hAnsiTheme="majorBidi" w:cstheme="majorBidi"/>
            <w:color w:val="000000" w:themeColor="text1"/>
            <w:sz w:val="28"/>
            <w:szCs w:val="28"/>
            <w:shd w:val="clear" w:color="auto" w:fill="FFFFFF"/>
          </w:rPr>
          <w:t>ligand dependent pathway</w:t>
        </w:r>
      </w:hyperlink>
      <w:r w:rsidR="00C14EC7" w:rsidRPr="000914E9">
        <w:rPr>
          <w:rFonts w:asciiTheme="majorBidi" w:hAnsiTheme="majorBidi" w:cstheme="majorBidi"/>
          <w:color w:val="000000" w:themeColor="text1"/>
          <w:sz w:val="28"/>
          <w:szCs w:val="28"/>
          <w:u w:val="single"/>
          <w:shd w:val="clear" w:color="auto" w:fill="FFFFFF"/>
        </w:rPr>
        <w:t>. In organometallic chemistry this can take place via </w:t>
      </w:r>
      <w:hyperlink r:id="rId12" w:tooltip="Associative substitution" w:history="1">
        <w:r w:rsidR="00C14EC7" w:rsidRPr="000914E9">
          <w:rPr>
            <w:rStyle w:val="Hyperlink"/>
            <w:rFonts w:asciiTheme="majorBidi" w:hAnsiTheme="majorBidi" w:cstheme="majorBidi"/>
            <w:color w:val="000000" w:themeColor="text1"/>
            <w:sz w:val="28"/>
            <w:szCs w:val="28"/>
            <w:shd w:val="clear" w:color="auto" w:fill="FFFFFF"/>
          </w:rPr>
          <w:t>associative substitution</w:t>
        </w:r>
      </w:hyperlink>
      <w:r w:rsidR="00C14EC7" w:rsidRPr="000914E9">
        <w:rPr>
          <w:rFonts w:asciiTheme="majorBidi" w:hAnsiTheme="majorBidi" w:cstheme="majorBidi"/>
          <w:color w:val="000000" w:themeColor="text1"/>
          <w:sz w:val="28"/>
          <w:szCs w:val="28"/>
          <w:u w:val="single"/>
          <w:shd w:val="clear" w:color="auto" w:fill="FFFFFF"/>
        </w:rPr>
        <w:t> or by </w:t>
      </w:r>
      <w:hyperlink r:id="rId13" w:tooltip="Dissociative substitution" w:history="1">
        <w:r w:rsidR="00C14EC7" w:rsidRPr="000914E9">
          <w:rPr>
            <w:rStyle w:val="Hyperlink"/>
            <w:rFonts w:asciiTheme="majorBidi" w:hAnsiTheme="majorBidi" w:cstheme="majorBidi"/>
            <w:color w:val="000000" w:themeColor="text1"/>
            <w:sz w:val="28"/>
            <w:szCs w:val="28"/>
            <w:shd w:val="clear" w:color="auto" w:fill="FFFFFF"/>
          </w:rPr>
          <w:t>dissociative substitution</w:t>
        </w:r>
      </w:hyperlink>
      <w:r w:rsidR="00C14EC7">
        <w:rPr>
          <w:rFonts w:asciiTheme="majorBidi" w:hAnsiTheme="majorBidi" w:cstheme="majorBidi"/>
          <w:color w:val="000000" w:themeColor="text1"/>
          <w:sz w:val="28"/>
          <w:szCs w:val="28"/>
        </w:rPr>
        <w:t>)</w:t>
      </w:r>
      <w:r w:rsidR="00C14EC7">
        <w:rPr>
          <w:rFonts w:ascii="Arial" w:hAnsi="Arial" w:cs="Arial"/>
          <w:color w:val="202122"/>
          <w:sz w:val="21"/>
          <w:szCs w:val="21"/>
          <w:shd w:val="clear" w:color="auto" w:fill="FFFFFF"/>
        </w:rPr>
        <w:t> </w:t>
      </w:r>
      <w:r w:rsidRPr="00523B54">
        <w:rPr>
          <w:rFonts w:ascii="Times New Roman" w:hAnsi="Times New Roman" w:cs="Times New Roman"/>
          <w:color w:val="000000"/>
          <w:sz w:val="28"/>
          <w:szCs w:val="28"/>
        </w:rPr>
        <w:t xml:space="preserve">, and </w:t>
      </w:r>
      <w:r w:rsidRPr="000914E9">
        <w:rPr>
          <w:rFonts w:ascii="Times New Roman" w:hAnsi="Times New Roman" w:cs="Times New Roman"/>
          <w:b/>
          <w:bCs/>
          <w:color w:val="000000"/>
          <w:sz w:val="28"/>
          <w:szCs w:val="28"/>
        </w:rPr>
        <w:t>covalent bonding</w:t>
      </w:r>
      <w:r w:rsidR="0015010E">
        <w:rPr>
          <w:rFonts w:ascii="Times New Roman" w:hAnsi="Times New Roman" w:cs="Times New Roman"/>
          <w:color w:val="000000"/>
          <w:sz w:val="28"/>
          <w:szCs w:val="28"/>
        </w:rPr>
        <w:t xml:space="preserve"> (</w:t>
      </w:r>
      <w:r w:rsidR="000914E9" w:rsidRPr="000914E9">
        <w:rPr>
          <w:rFonts w:asciiTheme="majorBidi" w:hAnsiTheme="majorBidi" w:cstheme="majorBidi"/>
          <w:color w:val="1A1A1A"/>
          <w:sz w:val="28"/>
          <w:szCs w:val="28"/>
          <w:u w:val="single"/>
          <w:shd w:val="clear" w:color="auto" w:fill="FFFFFF"/>
        </w:rPr>
        <w:t>the interatomic linkage that results from the sharing of an </w:t>
      </w:r>
      <w:hyperlink r:id="rId14" w:history="1">
        <w:r w:rsidR="000914E9" w:rsidRPr="000914E9">
          <w:rPr>
            <w:rStyle w:val="Hyperlink"/>
            <w:rFonts w:asciiTheme="majorBidi" w:hAnsiTheme="majorBidi" w:cstheme="majorBidi"/>
            <w:color w:val="0B3359"/>
            <w:sz w:val="28"/>
            <w:szCs w:val="28"/>
            <w:shd w:val="clear" w:color="auto" w:fill="FFFFFF"/>
          </w:rPr>
          <w:t>electron</w:t>
        </w:r>
      </w:hyperlink>
      <w:r w:rsidR="000914E9" w:rsidRPr="000914E9">
        <w:rPr>
          <w:rFonts w:asciiTheme="majorBidi" w:hAnsiTheme="majorBidi" w:cstheme="majorBidi"/>
          <w:color w:val="1A1A1A"/>
          <w:sz w:val="28"/>
          <w:szCs w:val="28"/>
          <w:u w:val="single"/>
          <w:shd w:val="clear" w:color="auto" w:fill="FFFFFF"/>
        </w:rPr>
        <w:t> pair between two atoms. The binding arises from the electrostatic attraction of their nuclei for the same electrons. A covalent bond forms when the bonded atoms have a lower total energy than that of widely separated atoms</w:t>
      </w:r>
      <w:r w:rsidR="000914E9">
        <w:rPr>
          <w:rFonts w:asciiTheme="majorBidi" w:hAnsiTheme="majorBidi" w:cstheme="majorBidi"/>
          <w:color w:val="1A1A1A"/>
          <w:sz w:val="28"/>
          <w:szCs w:val="28"/>
          <w:shd w:val="clear" w:color="auto" w:fill="FFFFFF"/>
        </w:rPr>
        <w:t>)</w:t>
      </w:r>
      <w:r w:rsidR="000914E9" w:rsidRPr="00523B54">
        <w:rPr>
          <w:rFonts w:ascii="Times New Roman" w:hAnsi="Times New Roman" w:cs="Times New Roman"/>
          <w:color w:val="000000"/>
          <w:sz w:val="28"/>
          <w:szCs w:val="28"/>
        </w:rPr>
        <w:t xml:space="preserve"> </w:t>
      </w:r>
      <w:r w:rsidRPr="00523B54">
        <w:rPr>
          <w:rFonts w:ascii="Times New Roman" w:hAnsi="Times New Roman" w:cs="Times New Roman"/>
          <w:color w:val="000000"/>
          <w:sz w:val="28"/>
          <w:szCs w:val="28"/>
        </w:rPr>
        <w:t>between solute and geological medium. The amount of sorption has been shown to be related primarily to the amount of total organic carbon and the amount of iron minerals present in a groundwater medium. Two types of sorption are distinguished: reversible and irreversible. Reversible sorption causes the solute concentration front to trail behind the</w:t>
      </w:r>
      <w:r>
        <w:rPr>
          <w:rFonts w:ascii="Times New Roman" w:hAnsi="Times New Roman" w:cs="Times New Roman"/>
          <w:color w:val="000000"/>
          <w:sz w:val="28"/>
          <w:szCs w:val="28"/>
        </w:rPr>
        <w:t xml:space="preserve"> </w:t>
      </w:r>
      <w:r w:rsidRPr="00523B54">
        <w:rPr>
          <w:rFonts w:ascii="Times New Roman" w:hAnsi="Times New Roman" w:cs="Times New Roman"/>
          <w:color w:val="000000"/>
          <w:sz w:val="28"/>
          <w:szCs w:val="28"/>
        </w:rPr>
        <w:t>advective front, while irreversible sorption effectively removes solute concentration from the groundwater. The effect of reversible sorption on solute transport in groundwater is commonly described by the retardation factor, which is defined as the advective velocity of the solute divided by the average linear groundwater velocity.</w:t>
      </w:r>
    </w:p>
    <w:p w14:paraId="4CAE33F1" w14:textId="54628275" w:rsidR="002916B7" w:rsidRDefault="002916B7" w:rsidP="00523B54">
      <w:pPr>
        <w:autoSpaceDE w:val="0"/>
        <w:autoSpaceDN w:val="0"/>
        <w:adjustRightInd w:val="0"/>
        <w:spacing w:after="0" w:line="240" w:lineRule="auto"/>
        <w:jc w:val="both"/>
        <w:rPr>
          <w:rFonts w:ascii="Times New Roman" w:hAnsi="Times New Roman" w:cs="Times New Roman"/>
          <w:color w:val="000000"/>
          <w:sz w:val="28"/>
          <w:szCs w:val="28"/>
        </w:rPr>
      </w:pPr>
    </w:p>
    <w:p w14:paraId="6233A841" w14:textId="474A0191" w:rsidR="009A0DE1" w:rsidRDefault="009A0DE1" w:rsidP="00523B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reverse of sorption is </w:t>
      </w:r>
      <w:proofErr w:type="gramStart"/>
      <w:r w:rsidRPr="009A0DE1">
        <w:rPr>
          <w:rFonts w:ascii="Times New Roman" w:hAnsi="Times New Roman" w:cs="Times New Roman"/>
          <w:b/>
          <w:bCs/>
          <w:color w:val="000000"/>
          <w:sz w:val="28"/>
          <w:szCs w:val="28"/>
        </w:rPr>
        <w:t>desorption</w:t>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a term that describes the dissociation of a </w:t>
      </w:r>
      <w:proofErr w:type="spellStart"/>
      <w:r>
        <w:rPr>
          <w:rFonts w:ascii="Times New Roman" w:hAnsi="Times New Roman" w:cs="Times New Roman"/>
          <w:color w:val="000000"/>
          <w:sz w:val="28"/>
          <w:szCs w:val="28"/>
        </w:rPr>
        <w:t>sorbed</w:t>
      </w:r>
      <w:proofErr w:type="spellEnd"/>
      <w:r>
        <w:rPr>
          <w:rFonts w:ascii="Times New Roman" w:hAnsi="Times New Roman" w:cs="Times New Roman"/>
          <w:color w:val="000000"/>
          <w:sz w:val="28"/>
          <w:szCs w:val="28"/>
        </w:rPr>
        <w:t xml:space="preserve"> molecule and its return to the aqueous or gaseous phase. </w:t>
      </w:r>
    </w:p>
    <w:p w14:paraId="7D2B036B" w14:textId="762F27B7" w:rsidR="00D23FDA" w:rsidRDefault="00D23FDA" w:rsidP="00523B54">
      <w:pPr>
        <w:autoSpaceDE w:val="0"/>
        <w:autoSpaceDN w:val="0"/>
        <w:adjustRightInd w:val="0"/>
        <w:spacing w:after="0" w:line="240" w:lineRule="auto"/>
        <w:jc w:val="both"/>
        <w:rPr>
          <w:rFonts w:ascii="Times New Roman" w:hAnsi="Times New Roman" w:cs="Times New Roman"/>
          <w:color w:val="000000"/>
          <w:sz w:val="28"/>
          <w:szCs w:val="28"/>
        </w:rPr>
      </w:pPr>
    </w:p>
    <w:p w14:paraId="0A137D76" w14:textId="023B8BFB" w:rsidR="00D23FDA" w:rsidRDefault="00D23FDA" w:rsidP="00523B54">
      <w:pPr>
        <w:autoSpaceDE w:val="0"/>
        <w:autoSpaceDN w:val="0"/>
        <w:adjustRightInd w:val="0"/>
        <w:spacing w:after="0" w:line="240" w:lineRule="auto"/>
        <w:jc w:val="both"/>
        <w:rPr>
          <w:rFonts w:ascii="Times New Roman" w:hAnsi="Times New Roman" w:cs="Times New Roman"/>
          <w:color w:val="000000"/>
          <w:sz w:val="28"/>
          <w:szCs w:val="28"/>
        </w:rPr>
      </w:pPr>
    </w:p>
    <w:p w14:paraId="4175CB2A" w14:textId="2BDC896C" w:rsidR="00D23FDA" w:rsidRDefault="00D23FDA" w:rsidP="00523B54">
      <w:pPr>
        <w:autoSpaceDE w:val="0"/>
        <w:autoSpaceDN w:val="0"/>
        <w:adjustRightInd w:val="0"/>
        <w:spacing w:after="0" w:line="240" w:lineRule="auto"/>
        <w:jc w:val="both"/>
        <w:rPr>
          <w:rFonts w:asciiTheme="majorBidi" w:hAnsiTheme="majorBidi" w:cstheme="majorBidi"/>
          <w:b/>
          <w:bCs/>
          <w:sz w:val="28"/>
          <w:szCs w:val="28"/>
          <w:u w:val="single"/>
        </w:rPr>
      </w:pPr>
      <w:r w:rsidRPr="00D23FDA">
        <w:rPr>
          <w:rFonts w:asciiTheme="majorBidi" w:hAnsiTheme="majorBidi" w:cstheme="majorBidi"/>
          <w:b/>
          <w:bCs/>
          <w:sz w:val="28"/>
          <w:szCs w:val="28"/>
          <w:u w:val="single"/>
        </w:rPr>
        <w:t>Volatilization</w:t>
      </w:r>
    </w:p>
    <w:p w14:paraId="4690C934" w14:textId="08E38654" w:rsidR="00D23FDA" w:rsidRPr="002C7074" w:rsidRDefault="009577AD" w:rsidP="00523B54">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The transfer of a contaminant from the aqueous phase, nonaqueous phase liquid, or </w:t>
      </w:r>
      <w:proofErr w:type="spellStart"/>
      <w:r>
        <w:rPr>
          <w:rFonts w:asciiTheme="majorBidi" w:hAnsiTheme="majorBidi" w:cstheme="majorBidi"/>
          <w:sz w:val="28"/>
          <w:szCs w:val="28"/>
        </w:rPr>
        <w:t>sorbed</w:t>
      </w:r>
      <w:proofErr w:type="spellEnd"/>
      <w:r>
        <w:rPr>
          <w:rFonts w:asciiTheme="majorBidi" w:hAnsiTheme="majorBidi" w:cstheme="majorBidi"/>
          <w:sz w:val="28"/>
          <w:szCs w:val="28"/>
        </w:rPr>
        <w:t xml:space="preserve"> phase directly to the gas phase is a process referred to as volatilization. The rate and extent to which volatilization occurs is strongly influenced by a number of parameters including the contaminant phase, the contaminant’s vapor pressure, environmental factors </w:t>
      </w:r>
      <w:proofErr w:type="gramStart"/>
      <w:r>
        <w:rPr>
          <w:rFonts w:asciiTheme="majorBidi" w:hAnsiTheme="majorBidi" w:cstheme="majorBidi"/>
          <w:sz w:val="28"/>
          <w:szCs w:val="28"/>
        </w:rPr>
        <w:t>( e.g.</w:t>
      </w:r>
      <w:proofErr w:type="gramEnd"/>
      <w:r>
        <w:rPr>
          <w:rFonts w:asciiTheme="majorBidi" w:hAnsiTheme="majorBidi" w:cstheme="majorBidi"/>
          <w:sz w:val="28"/>
          <w:szCs w:val="28"/>
        </w:rPr>
        <w:t xml:space="preserve">, temperature, and others). </w:t>
      </w:r>
    </w:p>
    <w:p w14:paraId="44F67DE6" w14:textId="77777777" w:rsidR="00D23FDA" w:rsidRPr="00D23FDA" w:rsidRDefault="00D23FDA" w:rsidP="00523B54">
      <w:pPr>
        <w:autoSpaceDE w:val="0"/>
        <w:autoSpaceDN w:val="0"/>
        <w:adjustRightInd w:val="0"/>
        <w:spacing w:after="0" w:line="240" w:lineRule="auto"/>
        <w:jc w:val="both"/>
        <w:rPr>
          <w:rFonts w:ascii="Times New Roman" w:hAnsi="Times New Roman" w:cs="Times New Roman"/>
          <w:color w:val="000000"/>
          <w:sz w:val="28"/>
          <w:szCs w:val="28"/>
        </w:rPr>
      </w:pPr>
    </w:p>
    <w:p w14:paraId="6EEC816E" w14:textId="022E5BB7" w:rsidR="009A0DE1" w:rsidRDefault="009A0DE1" w:rsidP="00523B54">
      <w:pPr>
        <w:autoSpaceDE w:val="0"/>
        <w:autoSpaceDN w:val="0"/>
        <w:adjustRightInd w:val="0"/>
        <w:spacing w:after="0" w:line="240" w:lineRule="auto"/>
        <w:jc w:val="both"/>
        <w:rPr>
          <w:rFonts w:ascii="Times New Roman" w:hAnsi="Times New Roman" w:cs="Times New Roman"/>
          <w:color w:val="000000"/>
          <w:sz w:val="28"/>
          <w:szCs w:val="28"/>
        </w:rPr>
      </w:pPr>
    </w:p>
    <w:p w14:paraId="47812D9B" w14:textId="441F9586" w:rsidR="009A0DE1" w:rsidRPr="00A86489" w:rsidRDefault="00A86489" w:rsidP="00523B54">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A86489">
        <w:rPr>
          <w:rFonts w:ascii="Times New Roman" w:hAnsi="Times New Roman" w:cs="Times New Roman"/>
          <w:b/>
          <w:bCs/>
          <w:color w:val="000000"/>
          <w:sz w:val="28"/>
          <w:szCs w:val="28"/>
          <w:u w:val="single"/>
        </w:rPr>
        <w:t xml:space="preserve">Biodegradation </w:t>
      </w:r>
    </w:p>
    <w:p w14:paraId="010F6C0A" w14:textId="77777777" w:rsidR="00A32918" w:rsidRDefault="00A86489" w:rsidP="00523B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The biodegradation of contaminants refers to the complete conversion of a contaminant to mineralized end products </w:t>
      </w:r>
      <w:proofErr w:type="gramStart"/>
      <w:r>
        <w:rPr>
          <w:rFonts w:ascii="Times New Roman" w:hAnsi="Times New Roman" w:cs="Times New Roman"/>
          <w:color w:val="000000"/>
          <w:sz w:val="28"/>
          <w:szCs w:val="28"/>
        </w:rPr>
        <w:t>( i.e.</w:t>
      </w:r>
      <w:proofErr w:type="gramEnd"/>
      <w:r>
        <w:rPr>
          <w:rFonts w:ascii="Times New Roman" w:hAnsi="Times New Roman" w:cs="Times New Roman"/>
          <w:color w:val="000000"/>
          <w:sz w:val="28"/>
          <w:szCs w:val="28"/>
        </w:rPr>
        <w:t xml:space="preserve"> CO</w:t>
      </w:r>
      <w:r w:rsidRPr="00A32918">
        <w:rPr>
          <w:rFonts w:ascii="Times New Roman" w:hAnsi="Times New Roman" w:cs="Times New Roman"/>
          <w:color w:val="000000"/>
          <w:sz w:val="28"/>
          <w:szCs w:val="28"/>
          <w:vertAlign w:val="subscript"/>
        </w:rPr>
        <w:t>2</w:t>
      </w:r>
      <w:r w:rsidR="00A32918">
        <w:rPr>
          <w:rFonts w:ascii="Times New Roman" w:hAnsi="Times New Roman" w:cs="Times New Roman"/>
          <w:color w:val="000000"/>
          <w:sz w:val="28"/>
          <w:szCs w:val="28"/>
        </w:rPr>
        <w:t>, H</w:t>
      </w:r>
      <w:r w:rsidR="00A32918" w:rsidRPr="00A32918">
        <w:rPr>
          <w:rFonts w:ascii="Times New Roman" w:hAnsi="Times New Roman" w:cs="Times New Roman"/>
          <w:color w:val="000000"/>
          <w:sz w:val="28"/>
          <w:szCs w:val="28"/>
          <w:vertAlign w:val="subscript"/>
        </w:rPr>
        <w:t>2</w:t>
      </w:r>
      <w:r w:rsidR="00A32918">
        <w:rPr>
          <w:rFonts w:ascii="Times New Roman" w:hAnsi="Times New Roman" w:cs="Times New Roman"/>
          <w:color w:val="000000"/>
          <w:sz w:val="28"/>
          <w:szCs w:val="28"/>
        </w:rPr>
        <w:t xml:space="preserve">O, and salts) through metabolism by living organisms. In ground water systems, the organisms that carry out this process are bacteria indigenous to the aquifer. In some cases, metabolic activity does change the chemical form of the contaminant but does not result in the mineralization. In the cases, the term biotransformation is typically used to describe the processes occurring. </w:t>
      </w:r>
    </w:p>
    <w:p w14:paraId="0AB81A3D" w14:textId="2A808F26" w:rsidR="00A86489" w:rsidRPr="00523B54" w:rsidRDefault="00A32918" w:rsidP="00523B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The metabolism of ground water contaminants is an extremely important fate process since it has the potential to impact the fate of all organic ground water </w:t>
      </w:r>
      <w:r w:rsidR="00232AD8">
        <w:rPr>
          <w:rFonts w:ascii="Times New Roman" w:hAnsi="Times New Roman" w:cs="Times New Roman"/>
          <w:color w:val="000000"/>
          <w:sz w:val="28"/>
          <w:szCs w:val="28"/>
        </w:rPr>
        <w:t>contaminants and</w:t>
      </w:r>
      <w:r>
        <w:rPr>
          <w:rFonts w:ascii="Times New Roman" w:hAnsi="Times New Roman" w:cs="Times New Roman"/>
          <w:color w:val="000000"/>
          <w:sz w:val="28"/>
          <w:szCs w:val="28"/>
        </w:rPr>
        <w:t xml:space="preserve"> is a process that has the potential to yield nonhazardous products.   </w:t>
      </w:r>
    </w:p>
    <w:sectPr w:rsidR="00A86489" w:rsidRPr="00523B54" w:rsidSect="00B01F38">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8E546" w14:textId="77777777" w:rsidR="009351A3" w:rsidRDefault="009351A3" w:rsidP="0004794C">
      <w:pPr>
        <w:spacing w:after="0" w:line="240" w:lineRule="auto"/>
      </w:pPr>
      <w:r>
        <w:separator/>
      </w:r>
    </w:p>
  </w:endnote>
  <w:endnote w:type="continuationSeparator" w:id="0">
    <w:p w14:paraId="19884606" w14:textId="77777777" w:rsidR="009351A3" w:rsidRDefault="009351A3" w:rsidP="0004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169530"/>
      <w:docPartObj>
        <w:docPartGallery w:val="Page Numbers (Bottom of Page)"/>
        <w:docPartUnique/>
      </w:docPartObj>
    </w:sdtPr>
    <w:sdtEndPr>
      <w:rPr>
        <w:noProof/>
      </w:rPr>
    </w:sdtEndPr>
    <w:sdtContent>
      <w:p w14:paraId="00E75C70" w14:textId="7DCFE469" w:rsidR="0059674F" w:rsidRDefault="005967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BD150" w14:textId="77777777" w:rsidR="0059674F" w:rsidRDefault="0059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5CA4" w14:textId="77777777" w:rsidR="009351A3" w:rsidRDefault="009351A3" w:rsidP="0004794C">
      <w:pPr>
        <w:spacing w:after="0" w:line="240" w:lineRule="auto"/>
      </w:pPr>
      <w:r>
        <w:separator/>
      </w:r>
    </w:p>
  </w:footnote>
  <w:footnote w:type="continuationSeparator" w:id="0">
    <w:p w14:paraId="2C46CC83" w14:textId="77777777" w:rsidR="009351A3" w:rsidRDefault="009351A3" w:rsidP="0004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FF4"/>
    <w:multiLevelType w:val="hybridMultilevel"/>
    <w:tmpl w:val="35B24514"/>
    <w:lvl w:ilvl="0" w:tplc="780AA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3205CF"/>
    <w:multiLevelType w:val="hybridMultilevel"/>
    <w:tmpl w:val="E42ABABA"/>
    <w:lvl w:ilvl="0" w:tplc="771C1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53B32"/>
    <w:multiLevelType w:val="hybridMultilevel"/>
    <w:tmpl w:val="BB7AE5C0"/>
    <w:lvl w:ilvl="0" w:tplc="F46EC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81598"/>
    <w:multiLevelType w:val="hybridMultilevel"/>
    <w:tmpl w:val="35D227DA"/>
    <w:lvl w:ilvl="0" w:tplc="780AAB96">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4" w15:restartNumberingAfterBreak="0">
    <w:nsid w:val="48551CFD"/>
    <w:multiLevelType w:val="hybridMultilevel"/>
    <w:tmpl w:val="BC1E4666"/>
    <w:lvl w:ilvl="0" w:tplc="780AAB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C640F8"/>
    <w:multiLevelType w:val="hybridMultilevel"/>
    <w:tmpl w:val="EE189D40"/>
    <w:lvl w:ilvl="0" w:tplc="CEC61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F332B"/>
    <w:multiLevelType w:val="hybridMultilevel"/>
    <w:tmpl w:val="6AE676B4"/>
    <w:lvl w:ilvl="0" w:tplc="CB809BC6">
      <w:start w:val="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69BE6C06"/>
    <w:multiLevelType w:val="hybridMultilevel"/>
    <w:tmpl w:val="194E1FDA"/>
    <w:lvl w:ilvl="0" w:tplc="9A565F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3"/>
  </w:num>
  <w:num w:numId="3">
    <w:abstractNumId w:val="4"/>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38"/>
    <w:rsid w:val="0000032D"/>
    <w:rsid w:val="00011722"/>
    <w:rsid w:val="0004299A"/>
    <w:rsid w:val="000454FB"/>
    <w:rsid w:val="0004794C"/>
    <w:rsid w:val="00056FDE"/>
    <w:rsid w:val="00066F90"/>
    <w:rsid w:val="000768F6"/>
    <w:rsid w:val="00076BF4"/>
    <w:rsid w:val="000914E9"/>
    <w:rsid w:val="00091C48"/>
    <w:rsid w:val="000939C6"/>
    <w:rsid w:val="000A1F85"/>
    <w:rsid w:val="000B5907"/>
    <w:rsid w:val="00106DFD"/>
    <w:rsid w:val="00122386"/>
    <w:rsid w:val="00143981"/>
    <w:rsid w:val="0015010E"/>
    <w:rsid w:val="00153BA8"/>
    <w:rsid w:val="001756EB"/>
    <w:rsid w:val="00185382"/>
    <w:rsid w:val="00185B93"/>
    <w:rsid w:val="001A47A6"/>
    <w:rsid w:val="001C6A33"/>
    <w:rsid w:val="001E0411"/>
    <w:rsid w:val="001E6134"/>
    <w:rsid w:val="00226F01"/>
    <w:rsid w:val="00227001"/>
    <w:rsid w:val="00232AD8"/>
    <w:rsid w:val="00233A3E"/>
    <w:rsid w:val="002343C3"/>
    <w:rsid w:val="002368AC"/>
    <w:rsid w:val="0023758A"/>
    <w:rsid w:val="00240EC1"/>
    <w:rsid w:val="002446DB"/>
    <w:rsid w:val="00245FD4"/>
    <w:rsid w:val="00250F15"/>
    <w:rsid w:val="002916B7"/>
    <w:rsid w:val="002B00CE"/>
    <w:rsid w:val="002C1042"/>
    <w:rsid w:val="002C4365"/>
    <w:rsid w:val="002C7074"/>
    <w:rsid w:val="002E7A0A"/>
    <w:rsid w:val="00303210"/>
    <w:rsid w:val="003154D3"/>
    <w:rsid w:val="003248A2"/>
    <w:rsid w:val="00350274"/>
    <w:rsid w:val="00372574"/>
    <w:rsid w:val="003B2C70"/>
    <w:rsid w:val="003C0B93"/>
    <w:rsid w:val="003D3A32"/>
    <w:rsid w:val="0040049A"/>
    <w:rsid w:val="00401EB9"/>
    <w:rsid w:val="00410EF3"/>
    <w:rsid w:val="00486CC5"/>
    <w:rsid w:val="00491608"/>
    <w:rsid w:val="004B7587"/>
    <w:rsid w:val="004B7892"/>
    <w:rsid w:val="004E7E74"/>
    <w:rsid w:val="004F20E0"/>
    <w:rsid w:val="005141CE"/>
    <w:rsid w:val="00514350"/>
    <w:rsid w:val="00523B54"/>
    <w:rsid w:val="005245CF"/>
    <w:rsid w:val="00537822"/>
    <w:rsid w:val="005759CC"/>
    <w:rsid w:val="0059674F"/>
    <w:rsid w:val="005C12D5"/>
    <w:rsid w:val="005D2F4D"/>
    <w:rsid w:val="005E1897"/>
    <w:rsid w:val="0062378B"/>
    <w:rsid w:val="00627CE4"/>
    <w:rsid w:val="00634356"/>
    <w:rsid w:val="006436A7"/>
    <w:rsid w:val="00644FDD"/>
    <w:rsid w:val="0066365F"/>
    <w:rsid w:val="0066505F"/>
    <w:rsid w:val="0068122C"/>
    <w:rsid w:val="00683C2E"/>
    <w:rsid w:val="006844A8"/>
    <w:rsid w:val="006A7012"/>
    <w:rsid w:val="006E3102"/>
    <w:rsid w:val="00747C99"/>
    <w:rsid w:val="00750B34"/>
    <w:rsid w:val="0075368E"/>
    <w:rsid w:val="00760BF0"/>
    <w:rsid w:val="00765276"/>
    <w:rsid w:val="007772EA"/>
    <w:rsid w:val="007B2099"/>
    <w:rsid w:val="007B2601"/>
    <w:rsid w:val="007C6374"/>
    <w:rsid w:val="007D46DA"/>
    <w:rsid w:val="007E390E"/>
    <w:rsid w:val="00813E4E"/>
    <w:rsid w:val="00825056"/>
    <w:rsid w:val="0083413F"/>
    <w:rsid w:val="00883FDA"/>
    <w:rsid w:val="00886A84"/>
    <w:rsid w:val="008A3FC8"/>
    <w:rsid w:val="008A42A9"/>
    <w:rsid w:val="008B7079"/>
    <w:rsid w:val="008E6234"/>
    <w:rsid w:val="008F675F"/>
    <w:rsid w:val="0090515A"/>
    <w:rsid w:val="009215AD"/>
    <w:rsid w:val="009351A3"/>
    <w:rsid w:val="00954556"/>
    <w:rsid w:val="009577AD"/>
    <w:rsid w:val="00967CCC"/>
    <w:rsid w:val="009A0DE1"/>
    <w:rsid w:val="009C2E82"/>
    <w:rsid w:val="00A143AF"/>
    <w:rsid w:val="00A22CB6"/>
    <w:rsid w:val="00A26839"/>
    <w:rsid w:val="00A32918"/>
    <w:rsid w:val="00A342F9"/>
    <w:rsid w:val="00A402A4"/>
    <w:rsid w:val="00A6777B"/>
    <w:rsid w:val="00A734CA"/>
    <w:rsid w:val="00A86489"/>
    <w:rsid w:val="00AE3272"/>
    <w:rsid w:val="00B01F38"/>
    <w:rsid w:val="00B03906"/>
    <w:rsid w:val="00B13A8A"/>
    <w:rsid w:val="00B33FF6"/>
    <w:rsid w:val="00B53C92"/>
    <w:rsid w:val="00B71384"/>
    <w:rsid w:val="00B71DAE"/>
    <w:rsid w:val="00BA5720"/>
    <w:rsid w:val="00BB340F"/>
    <w:rsid w:val="00BE062A"/>
    <w:rsid w:val="00BE6B4D"/>
    <w:rsid w:val="00BF0C06"/>
    <w:rsid w:val="00C05C03"/>
    <w:rsid w:val="00C112C3"/>
    <w:rsid w:val="00C147C7"/>
    <w:rsid w:val="00C14EC7"/>
    <w:rsid w:val="00C51A86"/>
    <w:rsid w:val="00C54E64"/>
    <w:rsid w:val="00C6019D"/>
    <w:rsid w:val="00C805DC"/>
    <w:rsid w:val="00C81FFE"/>
    <w:rsid w:val="00CA6146"/>
    <w:rsid w:val="00CB3FE7"/>
    <w:rsid w:val="00CC0D5C"/>
    <w:rsid w:val="00D0602A"/>
    <w:rsid w:val="00D16B5A"/>
    <w:rsid w:val="00D23FDA"/>
    <w:rsid w:val="00D30AE0"/>
    <w:rsid w:val="00D76770"/>
    <w:rsid w:val="00D84DCA"/>
    <w:rsid w:val="00D91934"/>
    <w:rsid w:val="00D920BD"/>
    <w:rsid w:val="00DA58C8"/>
    <w:rsid w:val="00DC6B3B"/>
    <w:rsid w:val="00DD2516"/>
    <w:rsid w:val="00DD36AB"/>
    <w:rsid w:val="00DD5F1D"/>
    <w:rsid w:val="00DD7F2B"/>
    <w:rsid w:val="00DF6143"/>
    <w:rsid w:val="00E05229"/>
    <w:rsid w:val="00E134D7"/>
    <w:rsid w:val="00E21611"/>
    <w:rsid w:val="00E31AF3"/>
    <w:rsid w:val="00E5024C"/>
    <w:rsid w:val="00E73054"/>
    <w:rsid w:val="00E766EA"/>
    <w:rsid w:val="00E77BC1"/>
    <w:rsid w:val="00E873DC"/>
    <w:rsid w:val="00E94B81"/>
    <w:rsid w:val="00EC0D3D"/>
    <w:rsid w:val="00EC2358"/>
    <w:rsid w:val="00ED5186"/>
    <w:rsid w:val="00ED6EE4"/>
    <w:rsid w:val="00EF6F94"/>
    <w:rsid w:val="00F07A74"/>
    <w:rsid w:val="00F10487"/>
    <w:rsid w:val="00F30705"/>
    <w:rsid w:val="00F32CD2"/>
    <w:rsid w:val="00F35C61"/>
    <w:rsid w:val="00F65835"/>
    <w:rsid w:val="00F81F74"/>
    <w:rsid w:val="00F9333B"/>
    <w:rsid w:val="00FA3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BF19"/>
  <w15:chartTrackingRefBased/>
  <w15:docId w15:val="{EE380328-0520-4C98-AF16-71097EC5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A8"/>
    <w:pPr>
      <w:ind w:left="720"/>
      <w:contextualSpacing/>
    </w:pPr>
  </w:style>
  <w:style w:type="paragraph" w:styleId="Header">
    <w:name w:val="header"/>
    <w:basedOn w:val="Normal"/>
    <w:link w:val="HeaderChar"/>
    <w:uiPriority w:val="99"/>
    <w:unhideWhenUsed/>
    <w:rsid w:val="00047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4C"/>
  </w:style>
  <w:style w:type="paragraph" w:styleId="Footer">
    <w:name w:val="footer"/>
    <w:basedOn w:val="Normal"/>
    <w:link w:val="FooterChar"/>
    <w:uiPriority w:val="99"/>
    <w:unhideWhenUsed/>
    <w:rsid w:val="00047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4C"/>
  </w:style>
  <w:style w:type="paragraph" w:styleId="NormalWeb">
    <w:name w:val="Normal (Web)"/>
    <w:basedOn w:val="Normal"/>
    <w:uiPriority w:val="99"/>
    <w:semiHidden/>
    <w:unhideWhenUsed/>
    <w:rsid w:val="002446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46DB"/>
    <w:rPr>
      <w:color w:val="0000FF"/>
      <w:u w:val="single"/>
    </w:rPr>
  </w:style>
  <w:style w:type="character" w:styleId="PlaceholderText">
    <w:name w:val="Placeholder Text"/>
    <w:basedOn w:val="DefaultParagraphFont"/>
    <w:uiPriority w:val="99"/>
    <w:semiHidden/>
    <w:rsid w:val="00B53C92"/>
    <w:rPr>
      <w:color w:val="808080"/>
    </w:rPr>
  </w:style>
  <w:style w:type="character" w:styleId="Strong">
    <w:name w:val="Strong"/>
    <w:basedOn w:val="DefaultParagraphFont"/>
    <w:uiPriority w:val="22"/>
    <w:qFormat/>
    <w:rsid w:val="00091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85407">
      <w:bodyDiv w:val="1"/>
      <w:marLeft w:val="0"/>
      <w:marRight w:val="0"/>
      <w:marTop w:val="0"/>
      <w:marBottom w:val="0"/>
      <w:divBdr>
        <w:top w:val="none" w:sz="0" w:space="0" w:color="auto"/>
        <w:left w:val="none" w:sz="0" w:space="0" w:color="auto"/>
        <w:bottom w:val="none" w:sz="0" w:space="0" w:color="auto"/>
        <w:right w:val="none" w:sz="0" w:space="0" w:color="auto"/>
      </w:divBdr>
    </w:div>
    <w:div w:id="1169447065">
      <w:bodyDiv w:val="1"/>
      <w:marLeft w:val="0"/>
      <w:marRight w:val="0"/>
      <w:marTop w:val="0"/>
      <w:marBottom w:val="0"/>
      <w:divBdr>
        <w:top w:val="none" w:sz="0" w:space="0" w:color="auto"/>
        <w:left w:val="none" w:sz="0" w:space="0" w:color="auto"/>
        <w:bottom w:val="none" w:sz="0" w:space="0" w:color="auto"/>
        <w:right w:val="none" w:sz="0" w:space="0" w:color="auto"/>
      </w:divBdr>
    </w:div>
    <w:div w:id="14136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Dissociative_substit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ssociative_substitu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gand_dependent_pathwa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Chemical_reac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ritannica.com/science/elect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4D137-70C5-462A-BB60-20EA4A57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shatha</dc:creator>
  <cp:keywords/>
  <dc:description/>
  <cp:lastModifiedBy>shatha</cp:lastModifiedBy>
  <cp:revision>17</cp:revision>
  <dcterms:created xsi:type="dcterms:W3CDTF">2020-06-24T07:58:00Z</dcterms:created>
  <dcterms:modified xsi:type="dcterms:W3CDTF">2020-06-26T20:28:00Z</dcterms:modified>
</cp:coreProperties>
</file>