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cs="Times New Roman" w:hAnsi="Times New Roman"/>
          <w:b/>
          <w:bCs/>
          <w:sz w:val="16"/>
          <w:szCs w:val="16"/>
          <w:u w:val="single"/>
        </w:rPr>
      </w:pPr>
      <w:bookmarkStart w:id="0" w:name="_GoBack"/>
      <w:bookmarkEnd w:id="0"/>
      <w:r>
        <w:rPr>
          <w:rFonts w:ascii="Arial" w:hAnsi="Arial"/>
          <w:sz w:val="53"/>
          <w:szCs w:val="53"/>
        </w:rPr>
        <w:t xml:space="preserve">                   </w:t>
      </w:r>
      <w:r>
        <w:rPr>
          <w:rFonts w:ascii="Times New Roman" w:cs="Times New Roman" w:hAnsi="Times New Roman"/>
          <w:b/>
          <w:bCs/>
          <w:sz w:val="40"/>
          <w:szCs w:val="40"/>
          <w:u w:val="single"/>
        </w:rPr>
        <w:t>Stroke</w:t>
      </w:r>
    </w:p>
    <w:p/>
    <w:p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cs="Times New Roman" w:hAnsi="Times New Roman"/>
          <w:b/>
          <w:bCs/>
          <w:sz w:val="44"/>
          <w:szCs w:val="44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Lecture objectives</w:t>
      </w:r>
    </w:p>
    <w:p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cs="Times New Roman" w:hAnsi="Times New Roman"/>
          <w:sz w:val="48"/>
          <w:szCs w:val="48"/>
        </w:rPr>
      </w:pP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48"/>
          <w:szCs w:val="48"/>
        </w:rPr>
      </w:pPr>
    </w:p>
    <w:p>
      <w:pPr>
        <w:widowControl w:val="0"/>
        <w:numPr>
          <w:ilvl w:val="0"/>
          <w:numId w:val="1"/>
        </w:numPr>
        <w:tabs>
          <w:tab w:val="clear" w:pos="720"/>
          <w:tab w:val="left" w:pos="167"/>
        </w:tabs>
        <w:overflowPunct w:val="0"/>
        <w:autoSpaceDE w:val="0"/>
        <w:autoSpaceDN w:val="0"/>
        <w:adjustRightInd w:val="0"/>
        <w:spacing w:after="0" w:line="360" w:lineRule="auto"/>
        <w:ind w:left="167" w:hanging="1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Explain the main </w:t>
      </w:r>
      <w:r>
        <w:rPr>
          <w:rFonts w:ascii="Times New Roman" w:cs="Times New Roman" w:hAnsi="Times New Roman"/>
          <w:sz w:val="24"/>
          <w:szCs w:val="24"/>
          <w:u w:val="single"/>
        </w:rPr>
        <w:t>types of stroke, incidence, prevalence and immediate symptoms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widowControl w:val="0"/>
        <w:numPr>
          <w:ilvl w:val="0"/>
          <w:numId w:val="1"/>
        </w:numPr>
        <w:tabs>
          <w:tab w:val="clear" w:pos="720"/>
          <w:tab w:val="left" w:pos="167"/>
        </w:tabs>
        <w:overflowPunct w:val="0"/>
        <w:autoSpaceDE w:val="0"/>
        <w:autoSpaceDN w:val="0"/>
        <w:adjustRightInd w:val="0"/>
        <w:spacing w:after="0" w:line="360" w:lineRule="auto"/>
        <w:ind w:left="167" w:hanging="1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Outline the </w:t>
      </w:r>
      <w:r>
        <w:rPr>
          <w:rFonts w:ascii="Times New Roman" w:cs="Times New Roman" w:hAnsi="Times New Roman"/>
          <w:sz w:val="24"/>
          <w:szCs w:val="24"/>
          <w:u w:val="single"/>
        </w:rPr>
        <w:t>therapeutic use</w:t>
      </w:r>
      <w:r>
        <w:rPr>
          <w:rFonts w:ascii="Times New Roman" w:cs="Times New Roman" w:hAnsi="Times New Roman"/>
          <w:sz w:val="24"/>
          <w:szCs w:val="24"/>
        </w:rPr>
        <w:t xml:space="preserve"> of tissue plasminogen activator, aspirin, dipyridamole and clopridogel in management of stroke patients. </w:t>
      </w:r>
    </w:p>
    <w:p>
      <w:pPr>
        <w:widowControl w:val="0"/>
        <w:numPr>
          <w:ilvl w:val="0"/>
          <w:numId w:val="1"/>
        </w:numPr>
        <w:tabs>
          <w:tab w:val="clear" w:pos="720"/>
          <w:tab w:val="left" w:pos="167"/>
        </w:tabs>
        <w:overflowPunct w:val="0"/>
        <w:autoSpaceDE w:val="0"/>
        <w:autoSpaceDN w:val="0"/>
        <w:adjustRightInd w:val="0"/>
        <w:spacing w:after="0" w:line="360" w:lineRule="auto"/>
        <w:ind w:left="167" w:hanging="167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Critically assess the pharmacological and non-pharmacological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therapeutic options to </w:t>
      </w:r>
      <w:r>
        <w:rPr>
          <w:rFonts w:ascii="Times New Roman" w:cs="Times New Roman" w:hAnsi="Times New Roman"/>
          <w:sz w:val="24"/>
          <w:szCs w:val="24"/>
          <w:u w:val="single"/>
        </w:rPr>
        <w:t>treat the longer-term effects of stroke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widowControl w:val="0"/>
        <w:numPr>
          <w:ilvl w:val="0"/>
          <w:numId w:val="1"/>
        </w:numPr>
        <w:tabs>
          <w:tab w:val="clear" w:pos="720"/>
          <w:tab w:val="left" w:pos="167"/>
        </w:tabs>
        <w:overflowPunct w:val="0"/>
        <w:autoSpaceDE w:val="0"/>
        <w:autoSpaceDN w:val="0"/>
        <w:adjustRightInd w:val="0"/>
        <w:spacing w:after="0" w:line="360" w:lineRule="auto"/>
        <w:ind w:left="167" w:hanging="1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the </w:t>
      </w:r>
      <w:r>
        <w:rPr>
          <w:rFonts w:ascii="Times New Roman" w:cs="Times New Roman" w:hAnsi="Times New Roman"/>
          <w:sz w:val="24"/>
          <w:szCs w:val="24"/>
          <w:u w:val="single"/>
        </w:rPr>
        <w:t>main risk factors</w:t>
      </w:r>
      <w:r>
        <w:rPr>
          <w:rFonts w:ascii="Times New Roman" w:cs="Times New Roman" w:hAnsi="Times New Roman"/>
          <w:sz w:val="24"/>
          <w:szCs w:val="24"/>
        </w:rPr>
        <w:t xml:space="preserve"> for stroke, and which can be modified. </w:t>
      </w:r>
    </w:p>
    <w:p>
      <w:pPr>
        <w:tabs>
          <w:tab w:val="left" w:pos="1114"/>
        </w:tabs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tabs>
          <w:tab w:val="left" w:pos="1114"/>
        </w:tabs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Definitions</w:t>
      </w: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Stroke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right="22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A "neurological deficit of cerebrovascular cause that persists beyond 24 hours or is interrupted by death within 24 hours“ (WHO).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“Brain Attack”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Transient Ischaemic Attack (TIA)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 w:right="240" w:hanging="1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stroke symptoms that resolve completely within 24 hours.</w:t>
      </w: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–  “Acute Ischaemic cerebrovascular syndrome</w:t>
      </w:r>
    </w:p>
    <w:p>
      <w:pPr>
        <w:autoSpaceDE w:val="0"/>
        <w:autoSpaceDN w:val="0"/>
        <w:adjustRightInd w:val="0"/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ind w:right="-360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Epidemiology  of  Stroke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>
      <w:pPr>
        <w:pStyle w:val="20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ind w:left="644" w:right="-360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Stroke is the third leading cause of death and the leading cause of long-term disability among adults in the United States. </w:t>
      </w:r>
    </w:p>
    <w:p>
      <w:pPr>
        <w:pStyle w:val="20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ind w:left="644" w:right="-360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 are more commonly affected by stroke than women except in persons older than 85 years</w:t>
      </w:r>
      <w:r>
        <w:rPr>
          <w:rFonts w:ascii="Times New Roman" w:cs="Times New Roman" w:hAnsi="Times New Roman"/>
          <w:sz w:val="24"/>
          <w:szCs w:val="24"/>
          <w:rtl/>
        </w:rPr>
        <w:t>,</w:t>
      </w:r>
      <w:r>
        <w:rPr>
          <w:rFonts w:ascii="Times New Roman" w:cs="Times New Roman" w:hAnsi="Times New Roman"/>
          <w:sz w:val="24"/>
          <w:szCs w:val="24"/>
        </w:rPr>
        <w:t>among whom stroke incidence is highest</w:t>
      </w:r>
      <w:r>
        <w:rPr>
          <w:rFonts w:ascii="Times New Roman" w:cs="Times New Roman" w:hAnsi="Times New Roman"/>
          <w:sz w:val="24"/>
          <w:szCs w:val="24"/>
          <w:rtl/>
        </w:rPr>
        <w:t>.</w:t>
      </w:r>
    </w:p>
    <w:tbl>
      <w:tblPr>
        <w:jc w:val="left"/>
        <w:bidiVisual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0"/>
        <w:gridCol w:w="3460"/>
        <w:gridCol w:w="20"/>
      </w:tblGrid>
      <w:tr>
        <w:trPr>
          <w:trHeight w:val="30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Types of Stroke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</w:trPr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Isch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emic (85%)</w:t>
            </w:r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/>
        </w:tc>
        <w:tc>
          <w:tcPr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06"/>
        </w:trPr>
        <w:tc>
          <w:tcPr>
            <w:tcW w:w="352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/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90"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ischemic (or cerebral infarction) due to an occluded artery </w:t>
      </w:r>
      <w:r>
        <w:rPr>
          <w:rFonts w:ascii="Times New Roman" w:cs="Times New Roman" w:hAnsi="Times New Roman"/>
          <w:sz w:val="24"/>
          <w:szCs w:val="24"/>
        </w:rPr>
        <w:t>following thrombosis or embolism</w:t>
      </w:r>
    </w:p>
    <w:p>
      <w:pPr>
        <w:widowControl w:val="0"/>
        <w:autoSpaceDE w:val="0"/>
        <w:autoSpaceDN w:val="0"/>
        <w:adjustRightInd w:val="0"/>
        <w:spacing w:after="0" w:line="107" w:lineRule="exact"/>
        <w:ind w:left="90" w:right="-36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90"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•Interruption of blood supply (oxygen, nutrients) </w:t>
      </w: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>neurones</w:t>
      </w:r>
    </w:p>
    <w:p>
      <w:pPr>
        <w:widowControl w:val="0"/>
        <w:autoSpaceDE w:val="0"/>
        <w:autoSpaceDN w:val="0"/>
        <w:adjustRightInd w:val="0"/>
        <w:spacing w:after="0" w:line="182" w:lineRule="auto"/>
        <w:ind w:left="90"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•Neuronal death leads to loss of function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90" w:right="-36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90" w:right="-36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Haemorrhagic (15%)</w:t>
      </w:r>
    </w:p>
    <w:p>
      <w:pPr>
        <w:widowControl w:val="0"/>
        <w:autoSpaceDE w:val="0"/>
        <w:autoSpaceDN w:val="0"/>
        <w:adjustRightInd w:val="0"/>
        <w:spacing w:after="0" w:line="103" w:lineRule="exact"/>
        <w:ind w:left="90" w:right="-36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90"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•Intracranial bleeding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hemorrhagic due to a ruptured artery</w:t>
      </w:r>
    </w:p>
    <w:p>
      <w:pPr>
        <w:widowControl w:val="0"/>
        <w:autoSpaceDE w:val="0"/>
        <w:autoSpaceDN w:val="0"/>
        <w:adjustRightInd w:val="0"/>
        <w:spacing w:after="0" w:line="106" w:lineRule="exact"/>
        <w:ind w:left="90" w:right="-36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07" w:lineRule="auto"/>
        <w:ind w:left="90"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•Damage can be caused by compression of tissue from an expanding haematoma, direct toxic effects of blood cells (free iron) and interruption of blood supply to neurons.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07" w:lineRule="auto"/>
        <w:ind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term hemorrhagic stroke does not include all intracranial hemorrhage.</w:t>
      </w:r>
    </w:p>
    <w:p>
      <w:pPr>
        <w:widowControl w:val="0"/>
        <w:autoSpaceDE w:val="0"/>
        <w:autoSpaceDN w:val="0"/>
        <w:adjustRightInd w:val="0"/>
        <w:spacing w:after="0" w:line="35" w:lineRule="exact"/>
        <w:ind w:left="90" w:right="-36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90" w:right="-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Surgical interventions required</w:t>
      </w:r>
    </w:p>
    <w:p>
      <w:pPr>
        <w:pStyle w:val="20"/>
        <w:autoSpaceDE w:val="0"/>
        <w:autoSpaceDN w:val="0"/>
        <w:bidi w:val="0"/>
        <w:adjustRightInd w:val="0"/>
        <w:spacing w:after="0" w:line="360" w:lineRule="auto"/>
        <w:ind w:left="90" w:right="-360"/>
        <w:contextualSpacing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2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ind w:left="720" w:right="-360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Hemorrhagic stroke cannot be reliably distinguished from ischemic stroke on clinical grounds alone. </w:t>
      </w:r>
    </w:p>
    <w:p>
      <w:pPr>
        <w:pStyle w:val="20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ind w:left="720" w:right="-360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presence of coma, meningismus, seizures at onset, vomiting, headache</w:t>
      </w:r>
      <w:r>
        <w:rPr>
          <w:rFonts w:ascii="Times New Roman" w:cs="Times New Roman" w:hAnsi="Times New Roman"/>
          <w:sz w:val="24"/>
          <w:szCs w:val="24"/>
          <w:rtl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and a diastolic blood pressure greater than 110 mm Hg makes the diagnosis of hemorrhagic stroke more Likely, but hemorrhagic stroke can present without any of these findings.</w:t>
      </w:r>
    </w:p>
    <w:p>
      <w:pPr>
        <w:pStyle w:val="20"/>
        <w:tabs>
          <w:tab w:val="left" w:pos="6452"/>
        </w:tabs>
        <w:bidi w:val="0"/>
        <w:spacing w:after="0" w:line="360" w:lineRule="auto"/>
        <w:ind w:left="360" w:right="-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In the acute setting</w:t>
      </w:r>
      <w:r>
        <w:rPr>
          <w:rFonts w:ascii="Times New Roman" w:cs="Times New Roman" w:hAnsi="Times New Roman"/>
          <w:sz w:val="24"/>
          <w:szCs w:val="24"/>
        </w:rPr>
        <w:t>, head CT without contrast is the initial test of choice to confirm or exclude hemorrhagic stroke; subsequent MRI can identify acute ischemia or a nonvascular cause.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26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Signs of  Stroke</w:t>
      </w:r>
    </w:p>
    <w:p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6"/>
        </w:numPr>
        <w:tabs>
          <w:tab w:val="clear" w:pos="720"/>
          <w:tab w:val="left" w:pos="447"/>
        </w:tabs>
        <w:overflowPunct w:val="0"/>
        <w:autoSpaceDE w:val="0"/>
        <w:autoSpaceDN w:val="0"/>
        <w:adjustRightInd w:val="0"/>
        <w:spacing w:after="0" w:line="240" w:lineRule="auto"/>
        <w:ind w:left="447" w:hanging="17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FAST</w:t>
      </w:r>
      <w:r>
        <w:rPr>
          <w:rFonts w:ascii="Times New Roman" w:cs="Times New Roman" w:hAnsi="Times New Roman"/>
          <w:sz w:val="24"/>
          <w:szCs w:val="24"/>
        </w:rPr>
        <w:t xml:space="preserve"> - the Face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Arm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>Speech</w:t>
      </w:r>
      <w:r>
        <w:rPr>
          <w:rFonts w:ascii="Times New Roman" w:cs="Times New Roman" w:hAnsi="Times New Roman"/>
          <w:sz w:val="24"/>
          <w:szCs w:val="24"/>
        </w:rPr>
        <w:t xml:space="preserve"> -</w:t>
      </w:r>
      <w:r>
        <w:rPr>
          <w:rFonts w:ascii="Times New Roman" w:cs="Times New Roman" w:hAnsi="Times New Roman"/>
          <w:sz w:val="24"/>
          <w:szCs w:val="24"/>
        </w:rPr>
        <w:t xml:space="preserve"> T</w:t>
      </w:r>
      <w:r>
        <w:rPr>
          <w:rFonts w:ascii="Times New Roman" w:cs="Times New Roman" w:hAnsi="Times New Roman"/>
          <w:sz w:val="24"/>
          <w:szCs w:val="24"/>
        </w:rPr>
        <w:t>ime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6"/>
        </w:numPr>
        <w:tabs>
          <w:tab w:val="clear" w:pos="720"/>
          <w:tab w:val="left" w:pos="447"/>
        </w:tabs>
        <w:overflowPunct w:val="0"/>
        <w:autoSpaceDE w:val="0"/>
        <w:autoSpaceDN w:val="0"/>
        <w:adjustRightInd w:val="0"/>
        <w:spacing w:after="0" w:line="286" w:lineRule="auto"/>
        <w:ind w:left="447" w:right="520" w:hanging="17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Assessment of three specific symptoms of stroke: </w:t>
      </w:r>
    </w:p>
    <w:p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646" w:right="320" w:hanging="1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b/>
          <w:bCs/>
          <w:sz w:val="24"/>
          <w:szCs w:val="24"/>
        </w:rPr>
        <w:t>Facial weakness</w:t>
      </w:r>
      <w:r>
        <w:rPr>
          <w:rFonts w:ascii="Times New Roman" w:cs="Times New Roman" w:hAnsi="Times New Roman"/>
          <w:sz w:val="24"/>
          <w:szCs w:val="24"/>
        </w:rPr>
        <w:t xml:space="preserve"> - can the person smile? Has their mouth or eye drooped? 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 </w:t>
      </w:r>
      <w:r>
        <w:rPr>
          <w:rFonts w:ascii="Times New Roman" w:cs="Times New Roman" w:hAnsi="Times New Roman"/>
          <w:b/>
          <w:bCs/>
          <w:sz w:val="24"/>
          <w:szCs w:val="24"/>
        </w:rPr>
        <w:t>Arm weakness</w:t>
      </w:r>
      <w:r>
        <w:rPr>
          <w:rFonts w:ascii="Times New Roman" w:cs="Times New Roman" w:hAnsi="Times New Roman"/>
          <w:sz w:val="24"/>
          <w:szCs w:val="24"/>
        </w:rPr>
        <w:t xml:space="preserve"> - can the person raise both arms? </w:t>
      </w:r>
    </w:p>
    <w:p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646" w:right="14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b/>
          <w:bCs/>
          <w:sz w:val="24"/>
          <w:szCs w:val="24"/>
        </w:rPr>
        <w:t>Speech problems</w:t>
      </w:r>
      <w:r>
        <w:rPr>
          <w:rFonts w:ascii="Times New Roman" w:cs="Times New Roman" w:hAnsi="Times New Roman"/>
          <w:sz w:val="24"/>
          <w:szCs w:val="24"/>
        </w:rPr>
        <w:t xml:space="preserve"> - can the person speak clearly and understand what you say? </w:t>
      </w:r>
    </w:p>
    <w:p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646" w:right="14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Time </w:t>
      </w:r>
    </w:p>
    <w:p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646" w:right="140" w:hanging="144"/>
        <w:jc w:val="both"/>
        <w:rPr>
          <w:rFonts w:ascii="Arial" w:hAnsi="Arial"/>
          <w:sz w:val="24"/>
          <w:szCs w:val="24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" behindDoc="1" locked="0" layoutInCell="0" hidden="0" allowOverlap="1">
            <wp:simplePos x="0" y="0"/>
            <wp:positionH relativeFrom="column">
              <wp:posOffset>659765</wp:posOffset>
            </wp:positionH>
            <wp:positionV relativeFrom="paragraph">
              <wp:posOffset>29845</wp:posOffset>
            </wp:positionV>
            <wp:extent cx="3646804" cy="2658745"/>
            <wp:effectExtent l="0" t="0" r="0" b="0"/>
            <wp:wrapNone/>
            <wp:docPr id="1" name="Picture 8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Picture 8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6804" cy="265874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right="180"/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</w:rPr>
        <w:t>pathophysiology</w:t>
      </w:r>
    </w:p>
    <w:p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11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Immediate consequence of the ischaemic insult at the core:</w:t>
      </w: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95" w:lineRule="auto"/>
        <w:ind w:right="2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Rapid depletion of oxygen leads to a cessation of oxidative phosphorylation, glucose and glycogen stores consumed within only 2-3 mins</w:t>
      </w:r>
    </w:p>
    <w:p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7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Accumulation of lactate and increases in CO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tension produces acidosis – inhibition of active transport mechanisms.</w:t>
      </w:r>
    </w:p>
    <w:p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Loss of calcium homeostasis</w:t>
      </w:r>
    </w:p>
    <w:p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8" w:lineRule="auto"/>
        <w:ind w:right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Breakdown of membrane phospholipids and the release of free fatty acids</w:t>
      </w:r>
    </w:p>
    <w:p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Anoxic depolarisation/excessive release of glutamate into extracellular space and glutamate transporter reversal.</w:t>
      </w:r>
    </w:p>
    <w:p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5" w:lineRule="auto"/>
        <w:ind w:right="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Oedema neuronal swelling resulting from influx of ions and H</w:t>
      </w:r>
      <w:r>
        <w:rPr>
          <w:rFonts w:ascii="Times New Roman" w:cs="Times New Roman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hAnsi="Times New Roman"/>
          <w:sz w:val="24"/>
          <w:szCs w:val="24"/>
        </w:rPr>
        <w:t>O</w:t>
      </w:r>
    </w:p>
    <w:p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Necrotic cell death in core.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Risk factors</w:t>
      </w:r>
    </w:p>
    <w:p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8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240" w:lineRule="auto"/>
        <w:ind w:left="166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Age </w:t>
      </w:r>
    </w:p>
    <w:p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385" w:right="8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The chance of having a stroke approximately doubles for each decade of life after age 55. </w:t>
      </w:r>
    </w:p>
    <w:p>
      <w:pPr>
        <w:widowControl w:val="0"/>
        <w:numPr>
          <w:ilvl w:val="0"/>
          <w:numId w:val="8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240" w:lineRule="auto"/>
        <w:ind w:left="166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Heredity (family history) and race </w:t>
      </w:r>
    </w:p>
    <w:p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8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240" w:lineRule="auto"/>
        <w:ind w:left="166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Gender </w:t>
      </w:r>
    </w:p>
    <w:p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385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More common in men than in women, however more than half of total stroke deaths occur in women. </w:t>
      </w:r>
    </w:p>
    <w:p>
      <w:pPr>
        <w:widowControl w:val="0"/>
        <w:numPr>
          <w:ilvl w:val="0"/>
          <w:numId w:val="8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240" w:lineRule="auto"/>
        <w:ind w:left="166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Prior stroke, TIA or heart attack 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Risk factors ( that can be controlled)</w:t>
      </w:r>
    </w:p>
    <w:p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 blood pressure </w:t>
      </w:r>
    </w:p>
    <w:p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Cigarette smoking </w:t>
      </w:r>
    </w:p>
    <w:p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Diabetes mellitus </w:t>
      </w:r>
    </w:p>
    <w:p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Carotid or other artery disease </w:t>
      </w:r>
    </w:p>
    <w:p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1"/>
        </w:tabs>
        <w:overflowPunct w:val="0"/>
        <w:autoSpaceDE w:val="0"/>
        <w:autoSpaceDN w:val="0"/>
        <w:adjustRightInd w:val="0"/>
        <w:spacing w:after="0" w:line="288" w:lineRule="auto"/>
        <w:ind w:left="180" w:hanging="17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Atrial fibrillation or other heart disease including dilated cardiomyopathy heart valve disease and some types of congenital heart defects. </w:t>
      </w:r>
    </w:p>
    <w:p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Sickle cell disease </w:t>
      </w:r>
    </w:p>
    <w:p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 blood cholesterol </w:t>
      </w:r>
    </w:p>
    <w:p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Poor diet (sodium, saturated fat, cholesterol) </w:t>
      </w:r>
    </w:p>
    <w:p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9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Physical inactivity and obesity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Hypertension</w:t>
      </w:r>
    </w:p>
    <w:p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161" w:right="720" w:hanging="17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Lifestyle changes to promote a healthy cardiovascular system</w:t>
      </w:r>
    </w:p>
    <w:p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05" w:lineRule="auto"/>
        <w:ind w:left="580" w:hanging="11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e.g. Blood Pressure (BP) increase by 5 mm Hg increases stroke risk by 35-40%, decrease BP by 10 mm Hg decreases stroke risk by 40%</w:t>
      </w:r>
    </w:p>
    <w:p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cs="Times New Roman" w:hAnsi="Times New Roman"/>
          <w:sz w:val="24"/>
          <w:szCs w:val="24"/>
        </w:rPr>
      </w:pPr>
    </w:p>
    <w:p>
      <w:pPr>
        <w:tabs>
          <w:tab w:val="left" w:pos="6452"/>
        </w:tabs>
        <w:spacing w:after="0" w:line="360" w:lineRule="auto"/>
        <w:ind w:right="-360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Strategies for treatment of stroke</w:t>
      </w:r>
      <w:r>
        <w:rPr>
          <w:rFonts w:ascii="Times New Roman" w:cs="Times New Roman" w:hAnsi="Times New Roman"/>
          <w:sz w:val="24"/>
          <w:szCs w:val="24"/>
        </w:rPr>
        <w:drawing>
          <wp:anchor distT="0" distB="0" distL="114300" distR="114300" simplePos="0" relativeHeight="3" behindDoc="1" locked="0" layoutInCell="0" hidden="0" allowOverlap="1">
            <wp:simplePos x="0" y="0"/>
            <wp:positionH relativeFrom="column">
              <wp:posOffset>2138680</wp:posOffset>
            </wp:positionH>
            <wp:positionV relativeFrom="paragraph">
              <wp:posOffset>-302895</wp:posOffset>
            </wp:positionV>
            <wp:extent cx="407035" cy="147955"/>
            <wp:effectExtent l="0" t="0" r="0" b="0"/>
            <wp:wrapNone/>
            <wp:docPr id="4" name="Picture 12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Picture 12 6"/>
                    <pic:cNvPicPr/>
                  </pic:nvPicPr>
                  <pic:blipFill>
                    <a:blip r:embed="rId3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035" cy="14795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19" w:lineRule="auto"/>
        <w:ind w:right="4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Enhance survival of patient </w:t>
      </w:r>
    </w:p>
    <w:p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19" w:lineRule="auto"/>
        <w:ind w:right="4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rapid action Treatments aimed to prevent further strokes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12" w:lineRule="auto"/>
        <w:ind w:right="4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Prevention of further neuronal loss, repair of damaged neurones (damage limitation)</w:t>
      </w:r>
    </w:p>
    <w:p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5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Help patient restore lost function ?Neurorestoration – replacement of lost neurons</w:t>
      </w:r>
    </w:p>
    <w:p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9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Acute Stroke management</w:t>
      </w:r>
      <w:r>
        <w:rPr>
          <w:rFonts w:ascii="Times New Roman" w:cs="Times New Roman" w:hAnsi="Times New Roman"/>
          <w:sz w:val="24"/>
          <w:szCs w:val="24"/>
        </w:rPr>
        <w:t>: (NICE guidelines)</w:t>
      </w:r>
    </w:p>
    <w:p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 w:eastAsia="zh-CN"/>
        </w:rPr>
        <w:drawing>
          <wp:anchor distT="0" distB="0" distL="114300" distR="114300" simplePos="0" relativeHeight="4" behindDoc="1" locked="0" layoutInCell="0" hidden="0" allowOverlap="1">
            <wp:simplePos x="0" y="0"/>
            <wp:positionH relativeFrom="column">
              <wp:posOffset>2142490</wp:posOffset>
            </wp:positionH>
            <wp:positionV relativeFrom="paragraph">
              <wp:posOffset>-345440</wp:posOffset>
            </wp:positionV>
            <wp:extent cx="407670" cy="147955"/>
            <wp:effectExtent l="0" t="0" r="0" b="0"/>
            <wp:wrapNone/>
            <wp:docPr id="7" name="Picture 14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Picture 14 8"/>
                    <pic:cNvPicPr/>
                  </pic:nvPicPr>
                  <pic:blipFill>
                    <a:blip r:embed="rId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670" cy="14795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11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76" w:lineRule="auto"/>
        <w:ind w:left="180" w:right="60" w:hanging="17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Ensure that people </w:t>
      </w:r>
      <w:r>
        <w:rPr>
          <w:rFonts w:ascii="Times New Roman" w:cs="Times New Roman" w:hAnsi="Times New Roman"/>
          <w:sz w:val="24"/>
          <w:szCs w:val="24"/>
          <w:u w:val="single"/>
        </w:rPr>
        <w:t>who have had</w:t>
      </w:r>
      <w:r>
        <w:rPr>
          <w:rFonts w:ascii="Times New Roman" w:cs="Times New Roman" w:hAnsi="Times New Roman"/>
          <w:sz w:val="24"/>
          <w:szCs w:val="24"/>
        </w:rPr>
        <w:t xml:space="preserve"> a suspected TIA who are at high risk of stroke </w:t>
      </w:r>
      <w:r>
        <w:rPr>
          <w:rFonts w:ascii="Times New Roman" w:cs="Times New Roman" w:hAnsi="Times New Roman"/>
          <w:sz w:val="24"/>
          <w:szCs w:val="24"/>
          <w:u w:val="single"/>
        </w:rPr>
        <w:t>(ABCD score of 4 or above</w:t>
      </w:r>
      <w:r>
        <w:rPr>
          <w:rFonts w:ascii="Times New Roman" w:cs="Times New Roman" w:hAnsi="Times New Roman"/>
          <w:sz w:val="24"/>
          <w:szCs w:val="24"/>
        </w:rPr>
        <w:t xml:space="preserve">*) have: 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 </w:t>
      </w:r>
      <w:r>
        <w:rPr>
          <w:rFonts w:ascii="Times New Roman" w:cs="Times New Roman" w:hAnsi="Times New Roman"/>
          <w:sz w:val="24"/>
          <w:szCs w:val="24"/>
          <w:u w:val="single"/>
        </w:rPr>
        <w:t>Aspirin (300 mg) started immediately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80" w:right="260" w:hanging="143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Specialist assessment and investigation within 24 hours of symptom onset 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measures for secondary prevention introduced 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1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281" w:lineRule="auto"/>
        <w:ind w:left="180" w:hanging="1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Admit anyone with a suspected stroke directly to an acute stroke unit</w:t>
      </w:r>
      <w:r>
        <w:rPr>
          <w:rFonts w:ascii="Times New Roman" w:cs="Times New Roman" w:hAnsi="Times New Roman"/>
          <w:sz w:val="24"/>
          <w:szCs w:val="24"/>
        </w:rPr>
        <w:t xml:space="preserve"> following initial assessment, </w:t>
      </w:r>
    </w:p>
    <w:p>
      <w:pPr>
        <w:widowControl w:val="0"/>
        <w:numPr>
          <w:ilvl w:val="0"/>
          <w:numId w:val="11"/>
        </w:numPr>
        <w:tabs>
          <w:tab w:val="clear" w:pos="720"/>
          <w:tab w:val="left" w:pos="180"/>
        </w:tabs>
        <w:overflowPunct w:val="0"/>
        <w:autoSpaceDE w:val="0"/>
        <w:autoSpaceDN w:val="0"/>
        <w:adjustRightInd w:val="0"/>
        <w:spacing w:after="0" w:line="322" w:lineRule="auto"/>
        <w:ind w:left="180" w:right="60" w:hanging="1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Screen swallowing on admission before giving any oral food, fluid</w:t>
      </w:r>
      <w:r>
        <w:rPr>
          <w:rFonts w:ascii="Times New Roman" w:cs="Times New Roman" w:hAnsi="Times New Roman"/>
          <w:sz w:val="24"/>
          <w:szCs w:val="24"/>
        </w:rPr>
        <w:t xml:space="preserve"> or medication </w:t>
      </w:r>
    </w:p>
    <w:p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*ABCD scoring scheme is in appendix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ABCD score</w:t>
      </w:r>
    </w:p>
    <w:p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2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240" w:lineRule="auto"/>
        <w:ind w:left="166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>– age (</w:t>
      </w:r>
      <w:r>
        <w:rPr>
          <w:rFonts w:ascii="Times New Roman" w:cs="Times New Roman" w:hAnsi="Times New Roman"/>
          <w:sz w:val="24"/>
          <w:szCs w:val="24"/>
        </w:rPr>
        <w:t>≥60 years, 1 point)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2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310" w:lineRule="auto"/>
        <w:ind w:left="166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B </w:t>
      </w:r>
      <w:r>
        <w:rPr>
          <w:rFonts w:ascii="Times New Roman" w:cs="Times New Roman" w:hAnsi="Times New Roman"/>
          <w:sz w:val="24"/>
          <w:szCs w:val="24"/>
        </w:rPr>
        <w:t>– blood pressure at presentation (≥140/90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mmHg, 1 point) 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2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300" w:lineRule="auto"/>
        <w:ind w:left="166" w:right="140" w:hanging="16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 </w:t>
      </w:r>
      <w:r>
        <w:rPr>
          <w:rFonts w:ascii="Times New Roman" w:cs="Times New Roman" w:hAnsi="Times New Roman"/>
          <w:sz w:val="24"/>
          <w:szCs w:val="24"/>
        </w:rPr>
        <w:t>– clinical features (unilateral weakness= 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points or speech disturbance without weakness= 1 point) 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2"/>
        </w:numPr>
        <w:tabs>
          <w:tab w:val="clear" w:pos="720"/>
          <w:tab w:val="left" w:pos="166"/>
        </w:tabs>
        <w:overflowPunct w:val="0"/>
        <w:autoSpaceDE w:val="0"/>
        <w:autoSpaceDN w:val="0"/>
        <w:adjustRightInd w:val="0"/>
        <w:spacing w:after="0" w:line="329" w:lineRule="auto"/>
        <w:ind w:left="166" w:right="120" w:hanging="16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D </w:t>
      </w:r>
      <w:r>
        <w:rPr>
          <w:rFonts w:ascii="Times New Roman" w:cs="Times New Roman" w:hAnsi="Times New Roman"/>
          <w:sz w:val="24"/>
          <w:szCs w:val="24"/>
        </w:rPr>
        <w:t>– duration of symptoms (≥60 minutes, 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points or 10–59 minutes, 1 p</w:t>
      </w:r>
      <w:r>
        <w:rPr>
          <w:rFonts w:ascii="Times New Roman" w:cs="Times New Roman" w:hAnsi="Times New Roman"/>
          <w:sz w:val="24"/>
          <w:szCs w:val="24"/>
        </w:rPr>
        <w:t xml:space="preserve">oint). </w:t>
      </w:r>
    </w:p>
    <w:p>
      <w:pPr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Complications</w:t>
      </w:r>
    </w:p>
    <w:p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Some of the long-term deficits arising from stroke</w:t>
      </w:r>
      <w:r>
        <w:rPr>
          <w:rFonts w:ascii="Times New Roman" w:cs="Times New Roman" w:hAnsi="Times New Roman"/>
          <w:sz w:val="24"/>
          <w:szCs w:val="24"/>
        </w:rPr>
        <w:t>= below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Some definitions</w:t>
      </w:r>
      <w:r>
        <w:rPr>
          <w:rFonts w:ascii="Times New Roman" w:cs="Times New Roman" w:hAnsi="Times New Roman"/>
          <w:sz w:val="24"/>
          <w:szCs w:val="24"/>
        </w:rPr>
        <w:t>…</w:t>
      </w:r>
    </w:p>
    <w:p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9" w:lineRule="auto"/>
        <w:ind w:right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Ataxia</w:t>
      </w:r>
      <w:r>
        <w:rPr>
          <w:rFonts w:ascii="Times New Roman" w:cs="Times New Roman" w:hAnsi="Times New Roman"/>
          <w:sz w:val="24"/>
          <w:szCs w:val="24"/>
        </w:rPr>
        <w:t xml:space="preserve"> uncoordinated muscle movements (often presenting as difficulty in walking)</w:t>
      </w:r>
    </w:p>
    <w:p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Dysphagia</w:t>
      </w:r>
      <w:r>
        <w:rPr>
          <w:rFonts w:ascii="Times New Roman" w:cs="Times New Roman" w:hAnsi="Times New Roman"/>
          <w:sz w:val="24"/>
          <w:szCs w:val="24"/>
        </w:rPr>
        <w:t xml:space="preserve"> is the inability to swallow</w:t>
      </w:r>
    </w:p>
    <w:p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7" w:lineRule="auto"/>
        <w:ind w:right="3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Dysphasia</w:t>
      </w:r>
      <w:r>
        <w:rPr>
          <w:rFonts w:ascii="Times New Roman" w:cs="Times New Roman" w:hAnsi="Times New Roman"/>
          <w:sz w:val="24"/>
          <w:szCs w:val="24"/>
        </w:rPr>
        <w:t xml:space="preserve"> (also known as aphasia) is difficulty using and understanding spoken and written language.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7" w:lineRule="auto"/>
        <w:ind w:right="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Agnosia</w:t>
      </w:r>
      <w:r>
        <w:rPr>
          <w:rFonts w:ascii="Times New Roman" w:cs="Times New Roman" w:hAnsi="Times New Roman"/>
          <w:sz w:val="24"/>
          <w:szCs w:val="24"/>
        </w:rPr>
        <w:t xml:space="preserve"> inability to recognise objects or objects, persons, sounds, shapes, or smells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7" w:lineRule="auto"/>
        <w:ind w:right="1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Dysarthria</w:t>
      </w:r>
      <w:r>
        <w:rPr>
          <w:rFonts w:ascii="Times New Roman" w:cs="Times New Roman" w:hAnsi="Times New Roman"/>
          <w:sz w:val="24"/>
          <w:szCs w:val="24"/>
        </w:rPr>
        <w:t xml:space="preserve"> is the misfunction of muscles in face resulting in an inability to form words)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9" w:lineRule="auto"/>
        <w:ind w:right="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Dysphonia</w:t>
      </w:r>
      <w:r>
        <w:rPr>
          <w:rFonts w:ascii="Times New Roman" w:cs="Times New Roman" w:hAnsi="Times New Roman"/>
          <w:sz w:val="24"/>
          <w:szCs w:val="24"/>
        </w:rPr>
        <w:t xml:space="preserve"> is when a stroke affects the muscles in the voice box, changing the way the voice sounds and making it hard to moderate the voice.</w:t>
      </w:r>
    </w:p>
    <w:p>
      <w:pPr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Dyspraxia </w:t>
      </w:r>
      <w:r>
        <w:rPr>
          <w:rFonts w:ascii="Times New Roman" w:cs="Times New Roman" w:hAnsi="Times New Roman"/>
          <w:sz w:val="24"/>
          <w:szCs w:val="24"/>
        </w:rPr>
        <w:t>(or apraxia) is difficulty with complicated tasks, which means that the person may find it hard to speak or understand conversation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Pharmacological management of stroke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19"/>
        <w:framePr w:w="7603" w:h="3590" w:wrap="around" w:vAnchor="page" w:hAnchor="page" w:x="2066" w:y="123" w:anchorLock="0"/>
        <w:tabs>
          <w:tab w:val="left" w:pos="762"/>
        </w:tabs>
        <w:spacing w:line="220" w:lineRule="exact"/>
      </w:pPr>
      <w:r>
        <w:rPr>
          <w:w w:val="120"/>
        </w:rPr>
        <w:t xml:space="preserve">I) </w:t>
        <w:tab/>
      </w:r>
      <w:r>
        <w:rPr>
          <w:b/>
          <w:bCs/>
          <w:u w:val="single"/>
        </w:rPr>
        <w:t>General treatment interventions</w:t>
      </w:r>
      <w:r>
        <w:t xml:space="preserve"> </w:t>
      </w:r>
    </w:p>
    <w:p>
      <w:pPr>
        <w:pStyle w:val="19"/>
        <w:framePr w:w="7603" w:h="3590" w:wrap="around" w:vAnchor="page" w:hAnchor="page" w:x="2066" w:y="123" w:anchorLock="0"/>
        <w:numPr>
          <w:ilvl w:val="0"/>
          <w:numId w:val="13"/>
        </w:numPr>
        <w:spacing w:line="244" w:lineRule="exact"/>
        <w:ind w:left="705" w:hanging="259"/>
        <w:jc w:val="both"/>
      </w:pPr>
      <w:r>
        <w:t xml:space="preserve">Fluid and electrolyte control </w:t>
      </w:r>
    </w:p>
    <w:p>
      <w:pPr>
        <w:pStyle w:val="19"/>
        <w:framePr w:w="7603" w:h="3590" w:wrap="around" w:vAnchor="page" w:hAnchor="page" w:x="2066" w:y="123" w:anchorLock="0"/>
        <w:spacing w:before="24" w:line="1" w:lineRule="exact"/>
        <w:ind w:left="1137" w:right="4"/>
        <w:jc w:val="both"/>
      </w:pPr>
    </w:p>
    <w:p>
      <w:pPr>
        <w:pStyle w:val="19"/>
        <w:framePr w:w="7603" w:h="3590" w:wrap="around" w:vAnchor="page" w:hAnchor="page" w:x="2066" w:y="123" w:anchorLock="0"/>
        <w:numPr>
          <w:ilvl w:val="0"/>
          <w:numId w:val="14"/>
        </w:numPr>
        <w:spacing w:line="244" w:lineRule="exact"/>
        <w:ind w:left="1136" w:right="4" w:hanging="393"/>
        <w:jc w:val="both"/>
      </w:pPr>
      <w:r>
        <w:rPr>
          <w:b/>
          <w:bCs/>
        </w:rPr>
        <w:t>Excessive hydration or inadequate sodium suppl.</w:t>
      </w:r>
      <w:r>
        <w:t xml:space="preserve"> May result in hyponatremia ---- forcing fluid into neurons ---- increase the damage from ischemia </w:t>
      </w:r>
    </w:p>
    <w:p>
      <w:pPr>
        <w:pStyle w:val="19"/>
        <w:framePr w:w="7603" w:h="3590" w:wrap="around" w:vAnchor="page" w:hAnchor="page" w:x="2066" w:y="123" w:anchorLock="0"/>
        <w:numPr>
          <w:ilvl w:val="0"/>
          <w:numId w:val="14"/>
        </w:numPr>
        <w:spacing w:line="273" w:lineRule="exact"/>
        <w:ind w:left="1128" w:hanging="388"/>
        <w:jc w:val="both"/>
      </w:pPr>
      <w:r>
        <w:t xml:space="preserve">Hyponatremia ----- seizures ----- increase the metabolic demand on </w:t>
      </w:r>
    </w:p>
    <w:p>
      <w:pPr>
        <w:pStyle w:val="19"/>
        <w:framePr w:w="7603" w:h="3590" w:wrap="around" w:vAnchor="page" w:hAnchor="page" w:x="2066" w:y="123" w:anchorLock="0"/>
        <w:spacing w:line="240" w:lineRule="exact"/>
        <w:ind w:left="1132"/>
        <w:jc w:val="both"/>
      </w:pPr>
      <w:r>
        <w:t xml:space="preserve">compromised neurons </w:t>
      </w:r>
    </w:p>
    <w:p>
      <w:pPr>
        <w:pStyle w:val="19"/>
        <w:framePr w:w="7603" w:h="3590" w:wrap="around" w:vAnchor="page" w:hAnchor="page" w:x="2066" w:y="123" w:anchorLock="0"/>
        <w:spacing w:before="19" w:line="1" w:lineRule="exact"/>
        <w:ind w:left="691" w:right="14"/>
        <w:jc w:val="both"/>
      </w:pPr>
    </w:p>
    <w:p>
      <w:pPr>
        <w:pStyle w:val="19"/>
        <w:framePr w:w="7603" w:h="3590" w:wrap="around" w:vAnchor="page" w:hAnchor="page" w:x="2066" w:y="123" w:anchorLock="0"/>
        <w:spacing w:line="249" w:lineRule="exact"/>
        <w:ind w:left="691" w:right="14"/>
        <w:jc w:val="both"/>
      </w:pPr>
      <w:r>
        <w:t xml:space="preserve">Therefore, initiate fluid therapy with a solution at least 0.45% saline </w:t>
      </w:r>
    </w:p>
    <w:p>
      <w:pPr>
        <w:pStyle w:val="19"/>
        <w:framePr w:w="7603" w:h="3590" w:wrap="around" w:vAnchor="page" w:hAnchor="page" w:x="2066" w:y="123" w:anchorLock="0"/>
        <w:numPr>
          <w:ilvl w:val="0"/>
          <w:numId w:val="13"/>
        </w:numPr>
        <w:spacing w:line="249" w:lineRule="exact"/>
        <w:ind w:left="691" w:right="14"/>
        <w:jc w:val="both"/>
      </w:pPr>
      <w:r>
        <w:rPr>
          <w:b/>
          <w:bCs/>
        </w:rPr>
        <w:t>Hyperglycemia control with insulin</w:t>
      </w:r>
      <w:r>
        <w:t xml:space="preserve"> therapy to keep glucose cone. </w:t>
      </w:r>
      <w:r>
        <w:rPr>
          <w:w w:val="112"/>
        </w:rPr>
        <w:t xml:space="preserve">&lt; </w:t>
      </w:r>
      <w:r>
        <w:t xml:space="preserve">155 mg/ dL, since hyperglycemia may adversely affect ischemic infarction outcome </w:t>
      </w:r>
    </w:p>
    <w:p>
      <w:pPr>
        <w:pStyle w:val="19"/>
        <w:framePr w:w="7603" w:h="3590" w:wrap="around" w:vAnchor="page" w:hAnchor="page" w:x="2066" w:y="123" w:anchorLock="0"/>
        <w:numPr>
          <w:ilvl w:val="0"/>
          <w:numId w:val="13"/>
        </w:numPr>
        <w:spacing w:line="249" w:lineRule="exact"/>
        <w:ind w:left="691" w:right="14"/>
        <w:jc w:val="both"/>
      </w:pPr>
      <w:r>
        <w:t xml:space="preserve"> </w:t>
      </w:r>
      <w:r>
        <w:rPr>
          <w:b/>
          <w:bCs/>
        </w:rPr>
        <w:t>Maintain mild hypertension for 1-2 days after stroke onset</w:t>
      </w:r>
      <w:r>
        <w:t xml:space="preserve"> (bee. Hypotension may dec. cerebral blood flow --- expand ischemia) </w:t>
      </w:r>
    </w:p>
    <w:p>
      <w:pPr>
        <w:pStyle w:val="19"/>
        <w:framePr w:w="7603" w:h="3590" w:wrap="around" w:vAnchor="page" w:hAnchor="page" w:x="2066" w:y="123" w:anchorLock="0"/>
        <w:spacing w:before="4" w:line="1" w:lineRule="exact"/>
        <w:ind w:left="720"/>
        <w:jc w:val="both"/>
      </w:pPr>
    </w:p>
    <w:p>
      <w:pPr>
        <w:pStyle w:val="19"/>
        <w:framePr w:w="7603" w:h="3590" w:wrap="around" w:vAnchor="page" w:hAnchor="page" w:x="2066" w:y="123" w:anchorLock="0"/>
        <w:numPr>
          <w:ilvl w:val="0"/>
          <w:numId w:val="13"/>
        </w:numPr>
        <w:spacing w:line="254" w:lineRule="exact"/>
        <w:ind w:left="720"/>
        <w:jc w:val="both"/>
      </w:pPr>
      <w:r>
        <w:rPr>
          <w:b/>
          <w:bCs/>
        </w:rPr>
        <w:t>Assess the patient in general daily needs</w:t>
      </w:r>
      <w:r>
        <w:t xml:space="preserve"> (nutrition, urination, defecation) bee of compromised ability due to neurological deficiency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19"/>
        <w:spacing w:line="254" w:lineRule="exact"/>
      </w:pPr>
      <w:r>
        <w:t xml:space="preserve">11)     </w:t>
      </w:r>
      <w:r>
        <w:rPr>
          <w:b/>
          <w:bCs/>
        </w:rPr>
        <w:t>Heparin/ LMWH</w:t>
      </w:r>
      <w:r>
        <w:t xml:space="preserve"> </w:t>
      </w:r>
    </w:p>
    <w:p>
      <w:pPr>
        <w:pStyle w:val="19"/>
        <w:spacing w:before="4" w:line="1" w:lineRule="exact"/>
        <w:ind w:left="720"/>
      </w:pPr>
    </w:p>
    <w:p>
      <w:pPr>
        <w:pStyle w:val="19"/>
        <w:spacing w:line="254" w:lineRule="exact"/>
        <w:ind w:left="720"/>
      </w:pPr>
      <w:r>
        <w:t xml:space="preserve">Used in progressive embolic stroke </w:t>
      </w:r>
      <w:r>
        <w:rPr>
          <w:b/>
          <w:bCs/>
        </w:rPr>
        <w:t>only to avoid conversion</w:t>
      </w:r>
      <w:r>
        <w:t xml:space="preserve"> to hemorrhagic stroke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19"/>
        <w:tabs>
          <w:tab w:val="left" w:pos="714"/>
        </w:tabs>
        <w:spacing w:line="220" w:lineRule="exact"/>
        <w:jc w:val="both"/>
      </w:pPr>
      <w:r>
        <w:rPr>
          <w:w w:val="108"/>
        </w:rPr>
        <w:t xml:space="preserve">III) </w:t>
        <w:tab/>
      </w:r>
      <w:r>
        <w:rPr>
          <w:b/>
          <w:bCs/>
        </w:rPr>
        <w:t>Thrombolytics</w:t>
      </w:r>
      <w:r>
        <w:t xml:space="preserve"> </w:t>
      </w:r>
    </w:p>
    <w:p>
      <w:pPr>
        <w:pStyle w:val="19"/>
        <w:spacing w:before="38" w:line="1" w:lineRule="exact"/>
        <w:ind w:left="652" w:right="38"/>
        <w:jc w:val="both"/>
      </w:pPr>
    </w:p>
    <w:p>
      <w:pPr>
        <w:pStyle w:val="19"/>
        <w:numPr>
          <w:ilvl w:val="0"/>
          <w:numId w:val="14"/>
        </w:numPr>
        <w:spacing w:line="240" w:lineRule="exact"/>
        <w:ind w:left="652" w:right="38" w:hanging="321"/>
        <w:jc w:val="both"/>
      </w:pPr>
      <w:r>
        <w:t xml:space="preserve">In acute ischemic stroke to restore the blood flow more rapidly to neurons and prevent damage (within 2-3 hrs) </w:t>
      </w:r>
    </w:p>
    <w:p>
      <w:pPr>
        <w:pStyle w:val="19"/>
        <w:spacing w:before="38" w:line="1" w:lineRule="exact"/>
        <w:ind w:left="652" w:right="38"/>
        <w:jc w:val="both"/>
      </w:pPr>
    </w:p>
    <w:p>
      <w:pPr>
        <w:pStyle w:val="19"/>
        <w:numPr>
          <w:ilvl w:val="0"/>
          <w:numId w:val="14"/>
        </w:numPr>
        <w:spacing w:line="240" w:lineRule="exact"/>
        <w:ind w:left="652" w:right="38" w:hanging="321"/>
        <w:jc w:val="both"/>
      </w:pPr>
      <w:r>
        <w:t xml:space="preserve">If occlusion persists for 3-7 hours ----- permanent neurological damage </w:t>
      </w:r>
    </w:p>
    <w:p>
      <w:pPr>
        <w:pStyle w:val="19"/>
        <w:spacing w:before="38" w:line="1" w:lineRule="exact"/>
        <w:ind w:left="652" w:right="38"/>
        <w:jc w:val="both"/>
      </w:pPr>
    </w:p>
    <w:p>
      <w:pPr>
        <w:pStyle w:val="19"/>
        <w:numPr>
          <w:ilvl w:val="0"/>
          <w:numId w:val="14"/>
        </w:numPr>
        <w:spacing w:line="240" w:lineRule="exact"/>
        <w:ind w:left="652" w:right="38" w:hanging="321"/>
        <w:jc w:val="both"/>
      </w:pPr>
      <w:r>
        <w:t xml:space="preserve">Treatment with tP A should be initiated as soon as possible after the onset of stroke symptoms, preferably within 90 minutes </w:t>
      </w:r>
    </w:p>
    <w:p>
      <w:pPr>
        <w:pStyle w:val="19"/>
        <w:spacing w:before="28" w:line="1" w:lineRule="exact"/>
        <w:ind w:left="652" w:right="48"/>
        <w:jc w:val="both"/>
      </w:pPr>
    </w:p>
    <w:p>
      <w:pPr>
        <w:pStyle w:val="19"/>
        <w:numPr>
          <w:ilvl w:val="0"/>
          <w:numId w:val="14"/>
        </w:numPr>
        <w:spacing w:line="240" w:lineRule="exact"/>
        <w:ind w:left="652" w:right="48" w:hanging="321"/>
        <w:jc w:val="both"/>
      </w:pPr>
      <w:r>
        <w:t xml:space="preserve">Rapid diagnosis by </w:t>
      </w:r>
      <w:r>
        <w:rPr>
          <w:w w:val="91"/>
        </w:rPr>
        <w:t xml:space="preserve">C'T </w:t>
      </w:r>
      <w:r>
        <w:t xml:space="preserve">scan of ischemic stroke and immediate administration of tPA increases its efficacy and may limit the potential for hemorrhagic conversion of ischemic stroke </w:t>
      </w:r>
    </w:p>
    <w:p>
      <w:pPr>
        <w:pStyle w:val="19"/>
        <w:spacing w:before="38" w:line="1" w:lineRule="exact"/>
        <w:ind w:left="652" w:right="38"/>
        <w:jc w:val="both"/>
      </w:pPr>
    </w:p>
    <w:p>
      <w:pPr>
        <w:pStyle w:val="19"/>
        <w:numPr>
          <w:ilvl w:val="0"/>
          <w:numId w:val="14"/>
        </w:numPr>
        <w:spacing w:line="240" w:lineRule="exact"/>
        <w:ind w:left="652" w:right="38" w:hanging="321"/>
        <w:jc w:val="both"/>
      </w:pPr>
      <w:r>
        <w:t xml:space="preserve">The dose of tPA should not exceed 0.85 mg/ kg administered over 60 minutes, since higher doses increase the risk of intracranial hemorrhage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Thrombolytic agents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3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Tissue Plasminogen Activator (tPA)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2"/>
          <w:numId w:val="15"/>
        </w:numPr>
        <w:tabs>
          <w:tab w:val="clear" w:pos="2160"/>
          <w:tab w:val="left" w:pos="574"/>
        </w:tabs>
        <w:overflowPunct w:val="0"/>
        <w:autoSpaceDE w:val="0"/>
        <w:autoSpaceDN w:val="0"/>
        <w:adjustRightInd w:val="0"/>
        <w:spacing w:after="0" w:line="240" w:lineRule="auto"/>
        <w:ind w:left="574" w:hanging="1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Alteplase (Bayer) </w:t>
      </w:r>
    </w:p>
    <w:p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2"/>
          <w:numId w:val="15"/>
        </w:numPr>
        <w:tabs>
          <w:tab w:val="clear" w:pos="2160"/>
          <w:tab w:val="left" w:pos="575"/>
        </w:tabs>
        <w:overflowPunct w:val="0"/>
        <w:autoSpaceDE w:val="0"/>
        <w:autoSpaceDN w:val="0"/>
        <w:adjustRightInd w:val="0"/>
        <w:spacing w:after="0" w:line="298" w:lineRule="auto"/>
        <w:ind w:left="574" w:right="320" w:hanging="1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Administered within 3 hours of stroke onset improves clinical outcome (death, disability) at 3 </w:t>
      </w:r>
      <w:r>
        <w:rPr>
          <w:rFonts w:ascii="Times New Roman" w:cs="Times New Roman" w:hAnsi="Times New Roman"/>
          <w:sz w:val="24"/>
          <w:szCs w:val="24"/>
        </w:rPr>
        <w:t xml:space="preserve">months </w:t>
      </w:r>
    </w:p>
    <w:p>
      <w:pPr>
        <w:widowControl w:val="0"/>
        <w:numPr>
          <w:ilvl w:val="2"/>
          <w:numId w:val="15"/>
        </w:numPr>
        <w:tabs>
          <w:tab w:val="clear" w:pos="2160"/>
          <w:tab w:val="left" w:pos="574"/>
        </w:tabs>
        <w:overflowPunct w:val="0"/>
        <w:autoSpaceDE w:val="0"/>
        <w:autoSpaceDN w:val="0"/>
        <w:adjustRightInd w:val="0"/>
        <w:spacing w:after="0" w:line="293" w:lineRule="auto"/>
        <w:ind w:left="574" w:right="600" w:hanging="11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Usually administered in specialist neurology clinic (sometimes in A&amp;E) </w:t>
      </w:r>
    </w:p>
    <w:p>
      <w:pPr>
        <w:widowControl w:val="0"/>
        <w:numPr>
          <w:ilvl w:val="2"/>
          <w:numId w:val="15"/>
        </w:numPr>
        <w:tabs>
          <w:tab w:val="clear" w:pos="2160"/>
          <w:tab w:val="left" w:pos="574"/>
        </w:tabs>
        <w:overflowPunct w:val="0"/>
        <w:autoSpaceDE w:val="0"/>
        <w:autoSpaceDN w:val="0"/>
        <w:adjustRightInd w:val="0"/>
        <w:spacing w:after="0" w:line="206" w:lineRule="exact"/>
        <w:ind w:left="574" w:right="520" w:hanging="11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90 </w:t>
      </w:r>
      <w:r>
        <w:rPr>
          <w:rFonts w:ascii="Times New Roman" w:eastAsia="Arial Unicode MS" w:cs="Times New Roman" w:hAnsi="Times New Roman"/>
          <w:sz w:val="24"/>
          <w:szCs w:val="24"/>
        </w:rPr>
        <w:t>μ</w:t>
      </w:r>
      <w:r>
        <w:rPr>
          <w:rFonts w:ascii="Times New Roman" w:cs="Times New Roman" w:hAnsi="Times New Roman"/>
          <w:sz w:val="24"/>
          <w:szCs w:val="24"/>
        </w:rPr>
        <w:t xml:space="preserve">g/kg (max 90 mg): 10% initially by i.v. injection, remainder by i.v. </w:t>
      </w:r>
    </w:p>
    <w:p>
      <w:pPr>
        <w:widowControl w:val="0"/>
        <w:overflowPunct w:val="0"/>
        <w:autoSpaceDE w:val="0"/>
        <w:autoSpaceDN w:val="0"/>
        <w:adjustRightInd w:val="0"/>
        <w:spacing w:after="0" w:line="206" w:lineRule="exact"/>
        <w:ind w:left="574" w:right="5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06" w:lineRule="exact"/>
        <w:ind w:left="574" w:right="5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infusion over 60 mins. </w:t>
      </w:r>
    </w:p>
    <w:p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2"/>
          <w:numId w:val="15"/>
        </w:numPr>
        <w:tabs>
          <w:tab w:val="clear" w:pos="2160"/>
          <w:tab w:val="left" w:pos="574"/>
        </w:tabs>
        <w:overflowPunct w:val="0"/>
        <w:autoSpaceDE w:val="0"/>
        <w:autoSpaceDN w:val="0"/>
        <w:adjustRightInd w:val="0"/>
        <w:spacing w:after="0" w:line="298" w:lineRule="auto"/>
        <w:ind w:left="574" w:right="40" w:hanging="11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Not appropriate for haemorrhagic stroke, increased risk of intracranial blee</w:t>
      </w:r>
      <w:r>
        <w:rPr>
          <w:rFonts w:ascii="Times New Roman" w:cs="Times New Roman" w:hAnsi="Times New Roman"/>
          <w:sz w:val="24"/>
          <w:szCs w:val="24"/>
        </w:rPr>
        <w:t xml:space="preserve">ding </w:t>
      </w:r>
    </w:p>
    <w:p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36" w:lineRule="auto"/>
        <w:ind w:right="5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tPA is a serine protease enzyme which acts as a “clotbuster”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2846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55" w:lineRule="auto"/>
        <w:ind w:left="20" w:right="380" w:firstLine="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Less than 2% of stroke </w:t>
      </w:r>
      <w:r>
        <w:rPr>
          <w:rFonts w:ascii="Times New Roman" w:cs="Times New Roman" w:hAnsi="Times New Roman"/>
          <w:sz w:val="24"/>
          <w:szCs w:val="24"/>
        </w:rPr>
        <w:t>patients</w:t>
      </w:r>
      <w:r>
        <w:rPr>
          <w:rFonts w:ascii="Times New Roman" w:cs="Times New Roman" w:hAnsi="Times New Roman"/>
          <w:sz w:val="24"/>
          <w:szCs w:val="24"/>
        </w:rPr>
        <w:t xml:space="preserve"> receive tPA!</w:t>
      </w:r>
    </w:p>
    <w:p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6"/>
        <w:jc w:val="both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Anti-platelet drugs </w:t>
      </w:r>
    </w:p>
    <w:p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385" w:right="12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Decrease platelet aggregation, inhibit thrombus formation </w:t>
      </w:r>
    </w:p>
    <w:p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385" w:right="16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Help prevent further strokes, do not restore the damage caused by initial ischaemic event. </w:t>
      </w:r>
    </w:p>
    <w:p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Aspirin </w:t>
      </w:r>
    </w:p>
    <w:p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00" w:right="56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Cyclooxygenase inhibitor, reduces thromboxane2 synthesis in platelets 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 Reduces likelihood of platelet aggregation </w:t>
      </w:r>
    </w:p>
    <w:p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00" w:right="280" w:hanging="143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Single dose (150 – 300 mg) given soon after ischaemic event, followed by 75 mg/d to prevent further cardiovascular events. </w:t>
      </w:r>
    </w:p>
    <w:p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400" w:hanging="14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aspirin decreases the risk of stroke by about 15%: this effect is uniform across aspirin doses from 50 to 1500 mg/d. </w:t>
      </w:r>
    </w:p>
    <w:p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260" w:right="19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Problems with aspirin???? – Further info: </w:t>
      </w:r>
    </w:p>
    <w:p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260" w:right="19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Aspirin plus dipyridamole</w:t>
      </w:r>
      <w:r>
        <w:rPr>
          <w:rFonts w:ascii="Times New Roman" w:cs="Times New Roman" w:hAnsi="Times New Roman"/>
          <w:sz w:val="24"/>
          <w:szCs w:val="24"/>
        </w:rPr>
        <w:t xml:space="preserve"> (NICE guidelines)</w:t>
      </w:r>
    </w:p>
    <w:p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380" w:right="40" w:hanging="1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Phosphodiesterase inhibitor, increases [cAMP] and acts as a vasodilator, also an Adenosine uptake inhibitor, increases extracellular [Adenosine], blocks platelet activation via activation of adenosine receptors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380" w:hanging="1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Modified Release (MR) dipyridamole (persantin Retard) in combination with aspirin should be used as part of the prevention of stoke or heart attack in people who have had a stroke for a period of two years from the most recent event.</w:t>
      </w:r>
    </w:p>
    <w:p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380" w:right="360" w:hanging="1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After 2 years, or if the patient can’t tolerate MR dipyridamole, treatment should revert to standard care (including long-term treatment with low-dose aspirin).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380" w:right="280" w:hanging="1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Dipyridamole absorption is pH-dependent and concomitant treatment with gastric acid suppressors (such as a proton pump inhibitor) will reduce drug availability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 http://www.nice.org.uk/nicemedia/pdf/TA090guidance.pdf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4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Clopidogrel </w:t>
      </w:r>
    </w:p>
    <w:p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384" w:right="80" w:hanging="1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Plavix (Bristol-Myers Squibb) and Iscover (Sanofi-Aventis) Clopilet (Sun Pharmaceuticals) </w:t>
      </w:r>
    </w:p>
    <w:p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224" w:right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 Irreversible blockade of the adenosine diphosphate (ADP) P2Y12 receptor on platelet cell membranes to reduce platelet activation –  UK NICE guidelines suggest Clopidogrel should be used on its own (within its license) for people who can’t take low-dose aspirin and </w:t>
      </w:r>
    </w:p>
    <w:p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384" w:right="6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have either experienced a stroke or heart attack or have symptomatic peripheral arterial disease. 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 Contraindications: </w:t>
      </w:r>
    </w:p>
    <w:p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2"/>
          <w:numId w:val="16"/>
        </w:numPr>
        <w:tabs>
          <w:tab w:val="clear" w:pos="2160"/>
          <w:tab w:val="left" w:pos="584"/>
        </w:tabs>
        <w:overflowPunct w:val="0"/>
        <w:autoSpaceDE w:val="0"/>
        <w:autoSpaceDN w:val="0"/>
        <w:adjustRightInd w:val="0"/>
        <w:spacing w:after="0" w:line="240" w:lineRule="auto"/>
        <w:ind w:left="584" w:hanging="11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Severe neutropenia (Incidence: 1/2,000) </w:t>
      </w:r>
    </w:p>
    <w:p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2"/>
          <w:numId w:val="16"/>
        </w:numPr>
        <w:tabs>
          <w:tab w:val="clear" w:pos="2160"/>
          <w:tab w:val="left" w:pos="584"/>
        </w:tabs>
        <w:overflowPunct w:val="0"/>
        <w:autoSpaceDE w:val="0"/>
        <w:autoSpaceDN w:val="0"/>
        <w:adjustRightInd w:val="0"/>
        <w:spacing w:after="0" w:line="271" w:lineRule="auto"/>
        <w:ind w:left="584" w:right="360" w:hanging="11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Thrombotic thrombocytopenic purpura (TTP) (Incidence: 4/1,000,000 patients treated) 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2"/>
          <w:numId w:val="16"/>
        </w:numPr>
        <w:tabs>
          <w:tab w:val="clear" w:pos="2160"/>
          <w:tab w:val="left" w:pos="584"/>
        </w:tabs>
        <w:overflowPunct w:val="0"/>
        <w:autoSpaceDE w:val="0"/>
        <w:autoSpaceDN w:val="0"/>
        <w:adjustRightInd w:val="0"/>
        <w:spacing w:after="0" w:line="240" w:lineRule="auto"/>
        <w:ind w:left="584" w:hanging="11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Haemorrhage </w:t>
      </w:r>
    </w:p>
    <w:p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804" w:hanging="11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– The incidence of haemorrhage may be increased by the co-administration of aspirin. Gastrointestinal Haemorrhage (Incidence: 2.0%) , Cerebral Haemorrhage (Incidence: 0.1 to 0.4%)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Treatment of depression following stroke</w:t>
      </w:r>
    </w:p>
    <w:p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560" w:right="240" w:hanging="17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Post stroke depression can be treated with conventional antidepressant medication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 No particular advantage of one class over another</w:t>
      </w:r>
    </w:p>
    <w:p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95" w:lineRule="auto"/>
        <w:ind w:left="560" w:right="180" w:hanging="17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Prophylactic treatment with fluoxetine during the first 6 months post-stroke is associated with significant increase in survival in both depressed and non-depressed patients (68% on antidepressant vs. 36% on placebo) (Jorge et al 2003).</w:t>
      </w:r>
    </w:p>
    <w:p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24" w:lineRule="auto"/>
        <w:ind w:left="560" w:right="660" w:hanging="17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• Antidepressants can have side-effects such as falls, increased bleeding, seizures, and sedation.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Rehabilitation</w:t>
      </w:r>
    </w:p>
    <w:p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Restoration of function, relearning skills and abilities</w:t>
      </w:r>
    </w:p>
    <w:p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Physiotherapy (e.g. learning to walk)</w:t>
      </w:r>
    </w:p>
    <w:p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36" w:lineRule="auto"/>
        <w:ind w:right="1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Speech and language therapy (e.g. learning to talk) </w:t>
      </w:r>
    </w:p>
    <w:p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36" w:lineRule="auto"/>
        <w:ind w:right="1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Occupational therapy (e.g. shopping)</w:t>
      </w:r>
    </w:p>
    <w:p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36" w:lineRule="auto"/>
        <w:ind w:right="1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Psychologist/Psychiatrist (adapting psychologically)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Learning new skills</w:t>
      </w:r>
    </w:p>
    <w:p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Adapting to some of the limitations caused by a stroke</w:t>
      </w:r>
    </w:p>
    <w:p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29" w:lineRule="auto"/>
        <w:ind w:left="424" w:right="1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e.g. smaller meals to avoid choking, physical changes to home, wearing incontinence pads, communicating in different ways, mobility aids.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24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Support network</w:t>
      </w:r>
    </w:p>
    <w:p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patience, positive, carers strike a balance between taking over and full independence</w:t>
      </w: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Complications</w:t>
      </w: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tbl>
      <w:tblPr>
        <w:jc w:val="left"/>
        <w:bidiVisual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710"/>
        <w:gridCol w:w="1220"/>
        <w:gridCol w:w="37"/>
        <w:gridCol w:w="1083"/>
        <w:gridCol w:w="37"/>
        <w:gridCol w:w="30"/>
      </w:tblGrid>
      <w:tr>
        <w:trPr>
          <w:trHeight w:val="17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Communicative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Cognitive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Emotional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1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61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Motor deficits,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Language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Agnosia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  <w:gridAfter w:val="1"/>
          <w:wAfter w:w="30" w:type="dxa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Paralysis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difficulties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Anxiety disorder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40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abnormal muscle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Impairment of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Dysarthria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memory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Ataxia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(Dementia)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Apathy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50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Coordination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Dysphasia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Confusion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Catastrophic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28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/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50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Dysphagia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Dysphonia</w:t>
            </w:r>
          </w:p>
        </w:tc>
        <w:tc>
          <w:tcPr>
            <w:tcW w:w="125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Impairments of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reaction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28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/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Pathologic affect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Visual/hearing loss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Dyspraxia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attention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perception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Psychosis, Mania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39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Sensory deficits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problem-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40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solving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Bipolar disorder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50"/>
        </w:trPr>
        <w:tc>
          <w:tcPr>
            <w:tcW w:w="18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insight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are rare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27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317" w:lineRule="auto"/>
        <w:ind w:left="424" w:right="180"/>
        <w:rPr>
          <w:rFonts w:ascii="Times New Roman" w:cs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i/>
          <w:iCs/>
          <w:sz w:val="28"/>
          <w:szCs w:val="28"/>
          <w:u w:val="single"/>
        </w:rPr>
      </w:pPr>
    </w:p>
    <w:sectPr>
      <w:pgSz w:w="12240" w:h="15840"/>
      <w:pgMar w:top="1440" w:right="1800" w:bottom="1440" w:left="1800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004823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">
    <w:multiLevelType w:val="hybridMultilevel"/>
    <w:tmpl w:val="021E7A8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8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7" w:hanging="360"/>
      </w:pPr>
      <w:rPr>
        <w:rFonts w:ascii="Wingdings" w:hAnsi="Wingdings" w:hint="default"/>
      </w:rPr>
    </w:lvl>
  </w:abstractNum>
  <w:abstractNum w:abstractNumId="2">
    <w:multiLevelType w:val="hybridMultilevel"/>
    <w:tmpl w:val="DAC4318C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>
    <w:multiLevelType w:val="hybridMultilevel"/>
    <w:tmpl w:val="230E357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hint="default"/>
      </w:rPr>
    </w:lvl>
  </w:abstractNum>
  <w:abstractNum w:abstractNumId="4">
    <w:multiLevelType w:val="hybridMultilevel"/>
    <w:tmpl w:val="581A6DD6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tmpl w:val="00005AF1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>
      <w:start w:val="0"/>
      <w:numFmt w:val="decimal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6">
    <w:multiLevelType w:val="hybridMultilevel"/>
    <w:tmpl w:val="D25239A6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6" w:hanging="360"/>
      </w:pPr>
      <w:rPr>
        <w:rFonts w:ascii="Wingdings" w:hAnsi="Wingdings" w:hint="default"/>
      </w:rPr>
    </w:lvl>
  </w:abstractNum>
  <w:abstractNum w:abstractNumId="7">
    <w:multiLevelType w:val="hybridMultilevel"/>
    <w:tmpl w:val="00007A5A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>
      <w:start w:val="0"/>
      <w:numFmt w:val="decimal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8">
    <w:multiLevelType w:val="hybridMultilevel"/>
    <w:tmpl w:val="00003B25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9">
    <w:multiLevelType w:val="hybridMultilevel"/>
    <w:tmpl w:val="874A890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tmpl w:val="00000BB3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>
      <w:start w:val="0"/>
      <w:numFmt w:val="decimal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1">
    <w:multiLevelType w:val="hybridMultilevel"/>
    <w:tmpl w:val="00007E87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2">
    <w:multiLevelType w:val="singleLevel"/>
    <w:tmpl w:val="1B0CF936"/>
    <w:lvl w:ilvl="0">
      <w:start w:val="1"/>
      <w:numFmt w:val="decimal"/>
      <w:lvlRestart w:val="0"/>
      <w:lvlText w:val="%1."/>
      <w:legacy w:legacy="1" w:legacySpace="0" w:legacyIndent="0"/>
      <w:lvlJc w:val="left"/>
      <w:pPr>
        <w:ind w:left="0" w:hanging="0"/>
      </w:pPr>
      <w:rPr>
        <w:rFonts w:ascii="Times New Roman" w:hAnsi="Times New Roman" w:cs="Times New Roman" w:hint="default"/>
      </w:rPr>
    </w:lvl>
  </w:abstractNum>
  <w:abstractNum w:abstractNumId="13">
    <w:multiLevelType w:val="singleLevel"/>
    <w:tmpl w:val="06309B76"/>
    <w:lvl w:ilvl="0">
      <w:start w:val="0"/>
      <w:numFmt w:val="bullet"/>
      <w:lvlRestart w:val="0"/>
      <w:lvlText w:val="*"/>
      <w:lvlJc w:val="left"/>
      <w:pPr>
        <w:tabs>
          <w:tab w:val="num" w:pos="0"/>
        </w:tabs>
        <w:ind w:left="0" w:hanging="0"/>
      </w:pPr>
    </w:lvl>
  </w:abstractNum>
  <w:abstractNum w:abstractNumId="14">
    <w:multiLevelType w:val="hybridMultilevel"/>
    <w:tmpl w:val="00000099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>
      <w:start w:val="0"/>
      <w:numFmt w:val="decimal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5">
    <w:multiLevelType w:val="hybridMultilevel"/>
    <w:tmpl w:val="00006443"/>
    <w:lvl w:ilvl="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\endash "/>
      <w:lvlJc w:val="left"/>
      <w:pPr>
        <w:tabs>
          <w:tab w:val="num" w:pos="2880"/>
        </w:tabs>
        <w:ind w:left="2880" w:hanging="360"/>
      </w:pPr>
    </w:lvl>
    <w:lvl w:ilvl="4">
      <w:start w:val="0"/>
      <w:numFmt w:val="decimal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6">
    <w:multiLevelType w:val="hybridMultilevel"/>
    <w:tmpl w:val="6C28C6B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  <w:lvlOverride w:ilvl="0">
      <w:lvl w:ilvl="0">
        <w:start w:val="65535"/>
        <w:numFmt w:val="bullet"/>
        <w:lvlRestart w:val="0"/>
        <w:lvlText w:val=""/>
        <w:legacy w:legacy="1" w:legacySpace="0" w:legacyIndent="0"/>
        <w:lvlJc w:val="left"/>
        <w:pPr>
          <w:ind w:left="0" w:hanging="0"/>
        </w:pPr>
        <w:rPr>
          <w:rFonts w:ascii="Symbol" w:hAnsi="Symbol" w:hint="default"/>
        </w:rPr>
      </w:lvl>
    </w:lvlOverride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3"/>
  <w:bordersDoNotSurroundHeader w:val="0"/>
  <w:bordersDoNotSurroundFooter w:val="0"/>
  <w:defaultTabStop w:val="720"/>
  <w:drawingGridHorizontalSpacing w:val="180"/>
  <w:drawingGridVerticalSpacing w:val="180"/>
  <w:displayHorizontalDrawingGridEvery w:val="1"/>
  <w:displayVerticalDrawingGridEvery w:val="1"/>
  <w:compat>
    <w:spaceForUL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Times New Roman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320"/>
        <w:tab w:val="right" w:pos="8640"/>
      </w:tabs>
      <w:spacing w:after="0" w:line="240" w:lineRule="auto"/>
    </w:pPr>
  </w:style>
  <w:style w:type="paragraph" w:styleId="17">
    <w:name w:val="footer"/>
    <w:basedOn w:val="0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19">
    <w:name w:val="Style"/>
    <w:pPr>
      <w:widowControl w:val="0"/>
      <w:autoSpaceDE w:val="0"/>
      <w:autoSpaceDN w:val="0"/>
      <w:adjustRightInd w:val="0"/>
    </w:pPr>
    <w:rPr>
      <w:rFonts w:ascii="Times New Roman" w:eastAsia="Times New Roman" w:cs="Times New Roman" w:hAnsi="Times New Roman"/>
      <w:sz w:val="24"/>
      <w:szCs w:val="24"/>
      <w:lang w:val="en-US" w:eastAsia="en-US" w:bidi="ar-SA"/>
    </w:rPr>
  </w:style>
  <w:style w:type="paragraph" w:styleId="20">
    <w:name w:val="List Paragraph"/>
    <w:basedOn w:val="0"/>
    <w:pPr>
      <w:bidi/>
      <w:ind w:left="720"/>
      <w:contextualSpacing/>
      <w:jc w:val="right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image" Target="media/5.jpg"/><Relationship Id="rId4" Type="http://schemas.openxmlformats.org/officeDocument/2006/relationships/image" Target="media/5.jpg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414</TotalTime>
  <Application>Honor_Office</Application>
  <Pages>10</Pages>
  <Words>1762</Words>
  <Characters>10103</Characters>
  <Lines>493</Lines>
  <Paragraphs>200</Paragraphs>
  <CharactersWithSpaces>11820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HONOR Docs</cp:lastModifiedBy>
  <cp:revision>14</cp:revision>
  <dcterms:created xsi:type="dcterms:W3CDTF">٢٠١٢-١٠-٠٦T٠٨:١٨:٠٠Z</dcterms:created>
  <dcterms:modified xsi:type="dcterms:W3CDTF">٢٠٢٥-١٠-١٣T٠٤:١٦:١٧Z</dcterms:modified>
</cp:coreProperties>
</file>