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985" w14:textId="314453F0" w:rsidR="005F7392" w:rsidRDefault="005F7392" w:rsidP="002E465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2E465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46C75CF4" w14:textId="37975712" w:rsidR="00FE748A" w:rsidRDefault="00374F4E" w:rsidP="00CA653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374F4E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Markov </w:t>
      </w:r>
      <w:r w:rsidR="000253EE">
        <w:rPr>
          <w:rFonts w:ascii="Times New Roman" w:hAnsi="Times New Roman" w:cs="Times New Roman"/>
          <w:b/>
          <w:bCs/>
          <w:color w:val="0070C0"/>
          <w:sz w:val="36"/>
          <w:szCs w:val="36"/>
        </w:rPr>
        <w:t>Mode</w:t>
      </w:r>
      <w:r w:rsidR="000253EE" w:rsidRPr="000253EE">
        <w:rPr>
          <w:rFonts w:ascii="Times New Roman" w:hAnsi="Times New Roman" w:cs="Times New Roman"/>
          <w:b/>
          <w:bCs/>
          <w:color w:val="0070C0"/>
          <w:sz w:val="36"/>
          <w:szCs w:val="36"/>
        </w:rPr>
        <w:t>ling</w:t>
      </w:r>
    </w:p>
    <w:p w14:paraId="4E72A4E4" w14:textId="77777777" w:rsidR="00EC79E5" w:rsidRPr="003A5366" w:rsidRDefault="00EC79E5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</w:rPr>
      </w:pPr>
    </w:p>
    <w:p w14:paraId="3D9B24B6" w14:textId="0F0A845A" w:rsid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 xml:space="preserve">Markov </w:t>
      </w:r>
      <w:r w:rsidRPr="004F716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 xml:space="preserve">Modeling </w:t>
      </w:r>
    </w:p>
    <w:p w14:paraId="00C4EA71" w14:textId="7EB67C50" w:rsidR="00302DD1" w:rsidRDefault="00EC79E5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sz w:val="28"/>
          <w:szCs w:val="28"/>
        </w:rPr>
        <w:t>Modeling may use approaches such as decision trees and Markov models. Although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decision tree modeling is a fundamental approach used in cost effectiveness analysis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as described in </w:t>
      </w:r>
      <w:r>
        <w:rPr>
          <w:rFonts w:asciiTheme="majorBidi" w:eastAsiaTheme="minorHAnsi" w:hAnsiTheme="majorBidi" w:cstheme="majorBidi"/>
          <w:sz w:val="28"/>
          <w:szCs w:val="28"/>
        </w:rPr>
        <w:t>Lect</w:t>
      </w:r>
      <w:r w:rsidR="00CA6539">
        <w:rPr>
          <w:rFonts w:asciiTheme="majorBidi" w:eastAsiaTheme="minorHAnsi" w:hAnsiTheme="majorBidi" w:cstheme="majorBidi"/>
          <w:sz w:val="28"/>
          <w:szCs w:val="28"/>
        </w:rPr>
        <w:t>ure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 3, a decision tree does not always clearly model changes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conditions over time. By contrast, Markov modeling represents such changes over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time and is thus suitable for predicting long-term outcomes of chronic illnesses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well as illnesses that involve complicated changes in the disease state over time. </w:t>
      </w:r>
    </w:p>
    <w:p w14:paraId="33E016F5" w14:textId="6331D810" w:rsidR="00302DD1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Andrei Andreevich Markov, a Russian mathematician,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originally characterized such processes in the first decade of the 20th century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 Markov process is a special type of stochastic model. A stochastic process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is a mathematical system that evolves over time with some element of uncertainty.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The simplest example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 stochastic process is coin flipping.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Dice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rolling is another example of this type of stochastic system, known as an independent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trial experiment.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The Markov process relaxes this assumption a bit. In a Markov model,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probability of a trial outcome varies depending on the current result (generally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known as a “state”).</w:t>
      </w:r>
    </w:p>
    <w:p w14:paraId="27E6BC30" w14:textId="08284862" w:rsidR="005A6A8C" w:rsidRDefault="00302DD1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Let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us consider a simple Markov model involving three clinical states: healthy, disabled,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 xml:space="preserve">and dead (Fig.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1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). This model can be illustrated by a state transition diagram, where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circles (○) represent clinical states and arrows (→) represent transitions that occur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between states during a specific period (generally 1 year). Termination of a Markov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model requires at least one absorbing state, which is usually death. States other than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death that satisfy certain conditions may also be defined as absorbing states.</w:t>
      </w:r>
    </w:p>
    <w:p w14:paraId="69854CB8" w14:textId="77777777" w:rsidR="007158CD" w:rsidRPr="007158CD" w:rsidRDefault="007158CD" w:rsidP="007158C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619368E0" w14:textId="4010E5F1" w:rsidR="00302DD1" w:rsidRPr="0062457B" w:rsidRDefault="00EC79E5" w:rsidP="0062457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740FD67" wp14:editId="0F87718A">
            <wp:extent cx="3143250" cy="2585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65" cy="26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5F76" w14:textId="5EF96CE8" w:rsidR="00EC79E5" w:rsidRPr="0062457B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8.1</w:t>
      </w:r>
      <w:r w:rsidR="00EC79E5" w:rsidRPr="00EC79E5">
        <w:rPr>
          <w:rFonts w:asciiTheme="majorBidi" w:eastAsiaTheme="minorHAnsi" w:hAnsiTheme="majorBidi" w:cstheme="majorBidi"/>
          <w:b/>
          <w:bCs/>
          <w:sz w:val="24"/>
          <w:szCs w:val="24"/>
        </w:rPr>
        <w:t>: State transition diagram of Markov model</w:t>
      </w:r>
      <w:r w:rsidR="007158CD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73ADD494" w14:textId="18DD1B5C" w:rsidR="00EC79E5" w:rsidRDefault="00EC79E5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      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Estimation using a Markov model requires that transition probabilities be defined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between states. For instance, 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1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 shows the state transition probabilities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Markov model introduced in 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302DD1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1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. Here, values in each column represent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probabilities of transitioning from the state indicated in the column title to other respective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states. For example, the probabilities of transitioning from the disabled state to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healthy, disabled, and dead states are 20%, 60%, and 20%, respectively. The probability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of transitioning from the dead state to the dead state is indicated as 1. When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transition probability is zero, arrows are omitted from the state transition diagram.</w:t>
      </w:r>
    </w:p>
    <w:p w14:paraId="6C661C74" w14:textId="77777777" w:rsidR="00302DD1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AA96614" w14:textId="57AE6592" w:rsidR="009C7E8D" w:rsidRDefault="009C7E8D" w:rsidP="003E2AA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9C7E8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Table </w:t>
      </w:r>
      <w:r w:rsidR="003E2AA7">
        <w:rPr>
          <w:rFonts w:asciiTheme="majorBidi" w:eastAsiaTheme="minorHAnsi" w:hAnsiTheme="majorBidi" w:cstheme="majorBidi"/>
          <w:b/>
          <w:bCs/>
          <w:sz w:val="28"/>
          <w:szCs w:val="28"/>
        </w:rPr>
        <w:t>8.1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:</w:t>
      </w:r>
      <w:r w:rsidRPr="009C7E8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9C7E8D">
        <w:rPr>
          <w:rFonts w:asciiTheme="majorBidi" w:eastAsiaTheme="minorHAnsi" w:hAnsiTheme="majorBidi" w:cstheme="majorBidi"/>
          <w:sz w:val="28"/>
          <w:szCs w:val="28"/>
        </w:rPr>
        <w:t>State transition probability matrix.</w:t>
      </w:r>
    </w:p>
    <w:p w14:paraId="5E883284" w14:textId="190E290F" w:rsidR="007158CD" w:rsidRDefault="00EC79E5" w:rsidP="002B7A0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3A7125CB" wp14:editId="6B15BA86">
            <wp:extent cx="3371850" cy="1959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06" cy="19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1B17" w14:textId="77777777" w:rsidR="007158CD" w:rsidRPr="002B7A0F" w:rsidRDefault="007158CD" w:rsidP="007158C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0"/>
          <w:szCs w:val="20"/>
        </w:rPr>
      </w:pPr>
    </w:p>
    <w:p w14:paraId="19C612C0" w14:textId="7DFA022B" w:rsidR="007158CD" w:rsidRDefault="0082493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A model that combines features of a decision tree and a Markov model may also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be used in the analysis. A Markov model can be presented as a decision tree, as in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2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, and thus can be integrated into a decision tree, as shown in 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3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, in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which Markov nodes are specified to allow for the analysis based on the Markov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model for these nodes. </w:t>
      </w:r>
    </w:p>
    <w:p w14:paraId="4461CCBB" w14:textId="77777777" w:rsid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4C6E72B" w14:textId="786DD875" w:rsidR="00824937" w:rsidRPr="0062457B" w:rsidRDefault="00824937" w:rsidP="006245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17DC0656" wp14:editId="446E2EBB">
            <wp:extent cx="5133975" cy="28867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03" cy="28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130BE" w14:textId="50B67928" w:rsidR="0062457B" w:rsidRPr="00824937" w:rsidRDefault="0082493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3E2AA7">
        <w:rPr>
          <w:rFonts w:asciiTheme="majorBidi" w:eastAsiaTheme="minorHAnsi" w:hAnsiTheme="majorBidi" w:cstheme="majorBidi"/>
          <w:b/>
          <w:bCs/>
          <w:sz w:val="24"/>
          <w:szCs w:val="24"/>
        </w:rPr>
        <w:t>8.2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Expression of Markov model in decision tree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2BA1E335" w14:textId="38E290D6" w:rsidR="00824937" w:rsidRPr="00AE5FAB" w:rsidRDefault="00824937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4A855379" wp14:editId="7D1BBE0F">
            <wp:extent cx="5274310" cy="30947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450D" w14:textId="77777777" w:rsidR="005C19A3" w:rsidRPr="005C19A3" w:rsidRDefault="005C19A3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131C6B25" w14:textId="4E09ADD4" w:rsidR="007158CD" w:rsidRPr="00824937" w:rsidRDefault="0082493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3E2AA7">
        <w:rPr>
          <w:rFonts w:asciiTheme="majorBidi" w:eastAsiaTheme="minorHAnsi" w:hAnsiTheme="majorBidi" w:cstheme="majorBidi"/>
          <w:b/>
          <w:bCs/>
          <w:sz w:val="24"/>
          <w:szCs w:val="24"/>
        </w:rPr>
        <w:t>8.3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: 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>Incorporating Markov model into decision tree model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260E0334" w14:textId="411BD5B1" w:rsidR="005A6A8C" w:rsidRPr="005C19A3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13557DA0" w14:textId="158AF0DB" w:rsidR="002B7A0F" w:rsidRDefault="00AE5FAB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See the following example in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 xml:space="preserve">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4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3F6E7ED3" w14:textId="77777777" w:rsidR="00AE5FAB" w:rsidRPr="005C19A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3347D50" w14:textId="7A3EAD90" w:rsidR="00AE5FAB" w:rsidRDefault="00164973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64973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0521EF8A" wp14:editId="6612D80B">
            <wp:extent cx="5272675" cy="47276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82" cy="47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0573" w14:textId="77777777" w:rsidR="005C19A3" w:rsidRPr="005C19A3" w:rsidRDefault="005C19A3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55670E63" w14:textId="4C3C8DAE" w:rsidR="00AE5FAB" w:rsidRPr="00AE5FAB" w:rsidRDefault="00AE5FAB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E5FAB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Figure </w:t>
      </w:r>
      <w:r w:rsidR="003E2AA7">
        <w:rPr>
          <w:rFonts w:asciiTheme="majorBidi" w:eastAsiaTheme="minorHAnsi" w:hAnsiTheme="majorBidi" w:cstheme="majorBidi"/>
          <w:b/>
          <w:bCs/>
          <w:sz w:val="24"/>
          <w:szCs w:val="24"/>
        </w:rPr>
        <w:t>8.4</w:t>
      </w:r>
      <w:r w:rsidRPr="00AE5FAB">
        <w:rPr>
          <w:rFonts w:asciiTheme="majorBidi" w:eastAsiaTheme="minorHAnsi" w:hAnsiTheme="majorBidi" w:cstheme="majorBidi"/>
          <w:b/>
          <w:bCs/>
          <w:sz w:val="24"/>
          <w:szCs w:val="24"/>
        </w:rPr>
        <w:t>: Bubble diagram for a general Markov model.</w:t>
      </w:r>
    </w:p>
    <w:p w14:paraId="2C7C3B2E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lastRenderedPageBreak/>
        <w:t>Example Calculations:</w:t>
      </w:r>
    </w:p>
    <w:p w14:paraId="34F723C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1 to Cycle 2</w:t>
      </w:r>
    </w:p>
    <w:p w14:paraId="082540BC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100% stay well = 70% well</w:t>
      </w:r>
    </w:p>
    <w:p w14:paraId="1831328B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100% get sick = 20% sick</w:t>
      </w:r>
    </w:p>
    <w:p w14:paraId="326CD035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100% die = 10% dead</w:t>
      </w:r>
    </w:p>
    <w:p w14:paraId="137C4AF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2 to Cycle 3</w:t>
      </w:r>
    </w:p>
    <w:p w14:paraId="2254054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70% stay well = 49% well</w:t>
      </w:r>
    </w:p>
    <w:p w14:paraId="0C5AA748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70% (14%) get sick plus 60% of 20% stay sick (12%) = 26% sick</w:t>
      </w:r>
    </w:p>
    <w:p w14:paraId="0CD03F60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70% (7%) die plus 40% of 20% (8%) die + 100% of 10% (10%) stay dead = 25% dead</w:t>
      </w:r>
    </w:p>
    <w:p w14:paraId="2C1C0946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3 to Cycle 4</w:t>
      </w:r>
    </w:p>
    <w:p w14:paraId="4A9C97E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49% stay well = 34% well</w:t>
      </w:r>
    </w:p>
    <w:p w14:paraId="747BAC4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49% (10%) get sick plus 60% of 26% (16%) stay sick = 26% sick</w:t>
      </w:r>
    </w:p>
    <w:p w14:paraId="478DFD69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49% (5%) die plus 40% of 26% (10%) die + 100% of 25% stay dead (25%) = 40% dead</w:t>
      </w:r>
    </w:p>
    <w:p w14:paraId="2D3F6D4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QALY Calculations</w:t>
      </w:r>
    </w:p>
    <w:p w14:paraId="7550F9BD" w14:textId="64E36C42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1 = 100% × 1.0 QALY = 1.00 QALY</w:t>
      </w:r>
    </w:p>
    <w:p w14:paraId="3E89AE8A" w14:textId="29E98CA6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2 = (70% × 1.0 QALY) + 20% (0.5 QALY) + 10% (0 QALY) = 0.80 QALY</w:t>
      </w:r>
    </w:p>
    <w:p w14:paraId="42F9A6BF" w14:textId="0E2D87E4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3 = (49% × 1.0 QALY) + 26% (0.5 QALY) + 25% (0 QALY) = 0.62 QALY</w:t>
      </w:r>
    </w:p>
    <w:p w14:paraId="1ACEF418" w14:textId="513A77B9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4 = (34% × 1.0 QALY) + 26% (0.5 QALY) + 40% (0 QALY) = 0.47 QALY</w:t>
      </w:r>
    </w:p>
    <w:p w14:paraId="77146725" w14:textId="627C468C" w:rsid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</w:p>
    <w:p w14:paraId="54AB44DF" w14:textId="612ED6EB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There are five steps for Markov modeling: (1) choose the health states that represent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the possible outcomes from each intervention; (2) determine possible transitions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between health states; (3) choose how long each cycle should be and how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many cycles will be analyzed; (4) estimate the probabilities associated with moving</w:t>
      </w:r>
      <w:r w:rsidRPr="00AE5FAB">
        <w:rPr>
          <w:rFonts w:ascii="LegacySerifStd-Book" w:eastAsiaTheme="minorHAnsi" w:hAnsi="LegacySerifStd-Book" w:cs="LegacySerifStd-Book"/>
          <w:sz w:val="21"/>
          <w:szCs w:val="21"/>
        </w:rPr>
        <w:t xml:space="preserve">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(i.e., transitioning) in and out of health states; and (5) estimate the costs and outcomes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associated with each option.</w:t>
      </w:r>
    </w:p>
    <w:p w14:paraId="5CA5A419" w14:textId="012A1C3A" w:rsidR="005C19A3" w:rsidRDefault="005C19A3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8.5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 xml:space="preserve"> shows a schematic of the Markov model used in the HIV example. The model</w:t>
      </w:r>
      <w:r w:rsidR="0016497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is structured in terms of four Markov states. Two of these are related to a patient</w:t>
      </w:r>
      <w:r>
        <w:rPr>
          <w:rFonts w:asciiTheme="majorBidi" w:eastAsiaTheme="minorHAnsi" w:hAnsiTheme="majorBidi" w:cstheme="majorBidi"/>
          <w:sz w:val="28"/>
          <w:szCs w:val="28"/>
        </w:rPr>
        <w:t>’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s CD4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count, which indicates the strength of their immune system. State A represents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healthiest patients with relatively high CD4 counts, and State B includes patients with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lower CD4 counts. State C includes patients who have progressed to AIDS, and the 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moves to State D when they die.</w:t>
      </w:r>
      <w:r w:rsidR="00164973" w:rsidRPr="0016497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For example, if a patient is in State A 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monotherapy, there is a probability of 0.721 that they will remain in that state in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next cycle, of 0.202 that they will progress to State B, of 0.067 that they will progress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to State C, and of 0.01 that they will die. The zeros in the matrix represent situations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where backwards transitions are not considered feasible in this particular model. It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can be seen that, because a patient always has to be in one of the states, the sum of the</w:t>
      </w:r>
      <w:r w:rsidRPr="005C19A3">
        <w:rPr>
          <w:rFonts w:ascii="MinionPro-Regular" w:eastAsia="MinionPro-Regular" w:hAnsiTheme="minorHAnsi" w:cs="MinionPro-Regular"/>
          <w:sz w:val="19"/>
          <w:szCs w:val="19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probabilities across the lines must always equal 1.</w:t>
      </w:r>
    </w:p>
    <w:p w14:paraId="56082B7C" w14:textId="12791010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4969EB63" w14:textId="1B8FD80C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C19A3"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8264B46" wp14:editId="2DF985EF">
            <wp:extent cx="5274310" cy="5729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C757" w14:textId="77777777" w:rsidR="005C19A3" w:rsidRP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1D9F5E54" w14:textId="045B5273" w:rsidR="005C19A3" w:rsidRPr="005C19A3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8.5</w:t>
      </w:r>
      <w:r w:rsidR="005C19A3" w:rsidRPr="005C19A3">
        <w:rPr>
          <w:rFonts w:asciiTheme="majorBidi" w:eastAsiaTheme="minorHAnsi" w:hAnsiTheme="majorBidi" w:cstheme="majorBidi"/>
          <w:b/>
          <w:bCs/>
          <w:sz w:val="24"/>
          <w:szCs w:val="24"/>
        </w:rPr>
        <w:t>: Markov diagram for a cost-effectiveness model in HIV. Below the diagram are the transition probabilities used for the monotherapy treatment.</w:t>
      </w:r>
    </w:p>
    <w:p w14:paraId="4D504FBB" w14:textId="7DC99407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06DE0263" w14:textId="70C9E87D" w:rsidR="00CA6539" w:rsidRDefault="00CA6539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8.6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 xml:space="preserve"> with respect to the monotherapy intervention in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HIV example, using a time horizon of 20 annual cycles. It is assumed that 1000 patients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begin in the cohort, but the number is irrelevant in a cohort model as the focus is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average patient and only the proportions of the cohort in particular states at a given time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point matter. One patient or one million patients could be used as the starting cohort,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and the answer will be the same. For each cycle, the proportion of the cohort in each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state is calculated on the basis of the proportions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various states in the last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cycle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and the transition probabilities.</w:t>
      </w:r>
      <w:r w:rsidRPr="00CA653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</w:p>
    <w:p w14:paraId="00455EF3" w14:textId="26D59641" w:rsid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A6539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7AE2119F" wp14:editId="7932913F">
            <wp:extent cx="5274310" cy="587758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95CB" w14:textId="77777777" w:rsidR="00CA6539" w:rsidRP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53AE5E30" w14:textId="5E45BD82" w:rsidR="00CA6539" w:rsidRPr="00CA6539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Fig. 8.6</w:t>
      </w:r>
      <w:r w:rsidR="00CA6539">
        <w:rPr>
          <w:rFonts w:asciiTheme="majorBidi" w:eastAsiaTheme="minorHAnsi" w:hAnsiTheme="majorBidi" w:cstheme="majorBidi"/>
          <w:b/>
          <w:bCs/>
          <w:sz w:val="24"/>
          <w:szCs w:val="24"/>
        </w:rPr>
        <w:t>:</w:t>
      </w:r>
      <w:r w:rsidR="00CA6539"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The results of the Markov trace for the monotherapy group in the HIV example</w:t>
      </w:r>
      <w:r w:rsidR="00CA653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CA6539"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>shown in Figure 5.</w:t>
      </w:r>
      <w:r w:rsidR="00CA6539">
        <w:rPr>
          <w:rFonts w:asciiTheme="majorBidi" w:eastAsiaTheme="minorHAnsi" w:hAnsiTheme="majorBidi" w:cstheme="majorBidi"/>
          <w:b/>
          <w:bCs/>
          <w:sz w:val="24"/>
          <w:szCs w:val="24"/>
        </w:rPr>
        <w:t>7</w:t>
      </w:r>
      <w:r w:rsidR="00CA6539"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>. The trace assumes a starting cohort of 1000 beginning in State A.</w:t>
      </w:r>
    </w:p>
    <w:p w14:paraId="265103D9" w14:textId="77777777" w:rsidR="00CA6539" w:rsidRP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72D1901" w14:textId="0E0E3FB3" w:rsidR="00824937" w:rsidRPr="005C19A3" w:rsidRDefault="00824937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Markov Model for Metabolic Syndrome</w:t>
      </w:r>
    </w:p>
    <w:p w14:paraId="70EC75C7" w14:textId="075FF455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6D4BF87E" w14:textId="4F5C63F9" w:rsidR="005A6A8C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sz w:val="28"/>
          <w:szCs w:val="28"/>
        </w:rPr>
        <w:t>To model the changes in the health state of a 40-year-old male patient diagnosed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metabolic syndrome from the current condition to diabetes, consider a Markov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chain consisting of four clinical states: metabolic syndrome, borderline diabetes,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diabetes, and dead. This patient has a 10% probability of progressing to borderline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diabetes or developing diabetes and a 0.01% probability of dying after 1 year.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Patients with borderline diabetes generally have a 10% probability of returning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 xml:space="preserve">the original metabolic syndrome state after 1 year but also have a roughly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lastRenderedPageBreak/>
        <w:t>20%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probability of progressing to diabetes and a risk of around 0.1% of dying. Patients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diabetes still have an around 10% probability of returning to borderline diabetes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after 1 year but little chance of returning to the original state of metabolic syndrome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no glucose metabolism disorders. Patients with diabetes also have a 1%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risk of dying.</w:t>
      </w:r>
    </w:p>
    <w:p w14:paraId="26742605" w14:textId="77777777" w:rsidR="00824937" w:rsidRP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B10BF6" w14:textId="4BD1C22E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Draw a state transition diagram with transition probabilities assigned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to the respective states.</w:t>
      </w:r>
    </w:p>
    <w:p w14:paraId="1D75455B" w14:textId="79B1061D" w:rsidR="005A6A8C" w:rsidRDefault="005A6A8C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See Fig.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7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 and 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2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54D238D9" w14:textId="77777777" w:rsidR="0027601B" w:rsidRDefault="0027601B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67804D" w14:textId="201D59A0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DA3EF1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3EF1D446" wp14:editId="55E5DA92">
            <wp:extent cx="4320164" cy="2672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85" cy="2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C1D8" w14:textId="77777777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40F6CBDB" w14:textId="3A36FAE4" w:rsidR="00DA3EF1" w:rsidRPr="00DA3EF1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8.7</w:t>
      </w:r>
      <w:r w:rsidR="00DA3EF1" w:rsidRPr="00DA3EF1">
        <w:rPr>
          <w:rFonts w:asciiTheme="majorBidi" w:eastAsiaTheme="minorHAnsi" w:hAnsiTheme="majorBidi" w:cstheme="majorBidi"/>
          <w:b/>
          <w:bCs/>
          <w:sz w:val="24"/>
          <w:szCs w:val="24"/>
        </w:rPr>
        <w:t>: State transition diagram of Markov model.</w:t>
      </w:r>
    </w:p>
    <w:p w14:paraId="1673611E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0"/>
          <w:szCs w:val="20"/>
        </w:rPr>
      </w:pPr>
    </w:p>
    <w:p w14:paraId="7BCB29DA" w14:textId="43BAFBE5" w:rsidR="005A6A8C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Table 8.2</w:t>
      </w:r>
      <w:r w:rsidR="00DA3EF1" w:rsidRPr="0027601B">
        <w:rPr>
          <w:rFonts w:asciiTheme="majorBidi" w:eastAsiaTheme="minorHAnsi" w:hAnsiTheme="majorBidi" w:cstheme="majorBidi"/>
          <w:sz w:val="28"/>
          <w:szCs w:val="28"/>
        </w:rPr>
        <w:t>:</w:t>
      </w:r>
      <w:r w:rsidR="00DA3EF1" w:rsidRPr="00DA3EF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State transition probability (untreated group)</w:t>
      </w:r>
      <w:r w:rsidR="0027601B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D147A97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0"/>
          <w:szCs w:val="10"/>
        </w:rPr>
      </w:pPr>
    </w:p>
    <w:p w14:paraId="2D95950E" w14:textId="24ED1E37" w:rsidR="00DA3EF1" w:rsidRDefault="0027601B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27601B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1EB842B" wp14:editId="187EED95">
            <wp:extent cx="5274310" cy="194126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B8C8" w14:textId="77777777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2A24B589" w14:textId="106F013A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Assume a cohort of 10,000 patients, and draw a state transition table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for the 2nd and 3rd years.</w:t>
      </w:r>
    </w:p>
    <w:p w14:paraId="0A6A18F5" w14:textId="72D50629" w:rsidR="005A6A8C" w:rsidRDefault="005A6A8C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See 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3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 (based on matrix calculations in Excel).</w:t>
      </w:r>
    </w:p>
    <w:p w14:paraId="57D9F808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663D30E4" w14:textId="77777777" w:rsidR="0027601B" w:rsidRDefault="0027601B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3C6C8655" w14:textId="77777777" w:rsidR="0027601B" w:rsidRDefault="0027601B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F6F2EBD" w14:textId="77802FCB" w:rsidR="005A6A8C" w:rsidRPr="0027601B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>Table 8.3</w:t>
      </w:r>
      <w:r w:rsidR="00DA3EF1" w:rsidRPr="0027601B">
        <w:rPr>
          <w:rFonts w:asciiTheme="majorBidi" w:eastAsiaTheme="minorHAnsi" w:hAnsiTheme="majorBidi" w:cstheme="majorBidi"/>
          <w:sz w:val="28"/>
          <w:szCs w:val="28"/>
        </w:rPr>
        <w:t>: State transition table (untreated group).</w:t>
      </w:r>
    </w:p>
    <w:p w14:paraId="75C5A858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4152E9CE" w14:textId="0F1DF655" w:rsidR="00DA3EF1" w:rsidRPr="00DA3EF1" w:rsidRDefault="00486EC6" w:rsidP="00B44D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486EC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7DC25B5E" wp14:editId="1E65F1D2">
            <wp:extent cx="5274310" cy="25905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B86C" w14:textId="77777777" w:rsidR="00DA3EF1" w:rsidRDefault="00DA3EF1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D550217" w14:textId="3AD83D91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3.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Assume the utilities of the four states, metabolic syndrome, borderline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diabetes, diabetes, and dead, are 0.9, 0.8, 0.6, and 0, respectively. Assign these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utilities to the respective states in the state transition table, and find the cumulative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utility.</w:t>
      </w:r>
    </w:p>
    <w:p w14:paraId="10838436" w14:textId="2EF0F1E6" w:rsidR="005A6A8C" w:rsidRDefault="005A6A8C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25,860 QALYs, as shown in 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4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3754914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395853E2" w14:textId="0D1C1DFD" w:rsidR="00DA3EF1" w:rsidRPr="00B44DF2" w:rsidRDefault="003E2AA7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Table 8.4</w:t>
      </w:r>
      <w:r w:rsidR="00DA3EF1" w:rsidRPr="00B44DF2">
        <w:rPr>
          <w:rFonts w:asciiTheme="majorBidi" w:eastAsiaTheme="minorHAnsi" w:hAnsiTheme="majorBidi" w:cstheme="majorBidi"/>
          <w:sz w:val="28"/>
          <w:szCs w:val="28"/>
        </w:rPr>
        <w:t>: Utility values (untreated group).</w:t>
      </w:r>
    </w:p>
    <w:p w14:paraId="27B27D0D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D6DFEAC" w14:textId="66CFD65B" w:rsidR="00DA3EF1" w:rsidRDefault="00DB1489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B1489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42BECDD4" wp14:editId="4FB73D82">
            <wp:extent cx="5274310" cy="9833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13FB" w14:textId="77777777" w:rsidR="00DA3EF1" w:rsidRPr="005A6A8C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13E0479" w14:textId="5B37710B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Assuming the annual costs incurred in the four states are JPY 2, 5,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100 (respectively, × 10K), and 0, find the cumulative cost.</w:t>
      </w:r>
    </w:p>
    <w:p w14:paraId="25651194" w14:textId="2F4875A3" w:rsidR="00970C10" w:rsidRDefault="00970C10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 4</w:t>
      </w:r>
      <w:r w:rsidRPr="00970C1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="00DB1489" w:rsidRPr="00DB1489">
        <w:rPr>
          <w:rFonts w:asciiTheme="majorBidi" w:eastAsiaTheme="minorHAnsi" w:hAnsiTheme="majorBidi" w:cstheme="majorBidi"/>
          <w:sz w:val="28"/>
          <w:szCs w:val="28"/>
        </w:rPr>
        <w:t xml:space="preserve">JPY 3,509,790,000, as shown in 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="00DB1489" w:rsidRPr="00DB1489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5</w:t>
      </w:r>
      <w:r w:rsidR="00DB1489" w:rsidRPr="00DB1489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6C8E17A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2BA0D1B5" w14:textId="69575388" w:rsidR="00DB1489" w:rsidRPr="00715204" w:rsidRDefault="00DB1489" w:rsidP="003E2A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15204">
        <w:rPr>
          <w:rFonts w:asciiTheme="majorBidi" w:eastAsiaTheme="minorHAnsi" w:hAnsiTheme="majorBidi" w:cstheme="majorBidi"/>
          <w:sz w:val="28"/>
          <w:szCs w:val="28"/>
        </w:rPr>
        <w:t xml:space="preserve">Table 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8</w:t>
      </w:r>
      <w:r w:rsidRPr="00715204">
        <w:rPr>
          <w:rFonts w:asciiTheme="majorBidi" w:eastAsiaTheme="minorHAnsi" w:hAnsiTheme="majorBidi" w:cstheme="majorBidi"/>
          <w:sz w:val="28"/>
          <w:szCs w:val="28"/>
        </w:rPr>
        <w:t>.</w:t>
      </w:r>
      <w:r w:rsidR="003E2AA7">
        <w:rPr>
          <w:rFonts w:asciiTheme="majorBidi" w:eastAsiaTheme="minorHAnsi" w:hAnsiTheme="majorBidi" w:cstheme="majorBidi"/>
          <w:sz w:val="28"/>
          <w:szCs w:val="28"/>
        </w:rPr>
        <w:t>5</w:t>
      </w:r>
      <w:r w:rsidRPr="00715204">
        <w:rPr>
          <w:rFonts w:asciiTheme="majorBidi" w:eastAsiaTheme="minorHAnsi" w:hAnsiTheme="majorBidi" w:cstheme="majorBidi"/>
          <w:sz w:val="28"/>
          <w:szCs w:val="28"/>
        </w:rPr>
        <w:t>: Cost [JPY × 10K] (untreated group).</w:t>
      </w:r>
    </w:p>
    <w:p w14:paraId="36837367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428696D" w14:textId="1230B06A" w:rsidR="00824937" w:rsidRDefault="00DB1489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B1489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02E5249" wp14:editId="013A9186">
            <wp:extent cx="5274310" cy="959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07F1" w14:textId="77777777" w:rsidR="00DB1489" w:rsidRPr="005A6A8C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FFAC7D7" w14:textId="77777777" w:rsidR="00BC7AED" w:rsidRPr="00B22F87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bookmarkStart w:id="0" w:name="_GoBack"/>
      <w:bookmarkEnd w:id="0"/>
    </w:p>
    <w:sectPr w:rsidR="00BC7AED" w:rsidRPr="00B22F87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25F9" w14:textId="77777777" w:rsidR="004B3BDB" w:rsidRDefault="004B3BDB" w:rsidP="0011274B">
      <w:pPr>
        <w:spacing w:after="0" w:line="240" w:lineRule="auto"/>
      </w:pPr>
      <w:r>
        <w:separator/>
      </w:r>
    </w:p>
  </w:endnote>
  <w:endnote w:type="continuationSeparator" w:id="0">
    <w:p w14:paraId="14783159" w14:textId="77777777" w:rsidR="004B3BDB" w:rsidRDefault="004B3BDB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b343a17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erif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E5B9" w14:textId="77777777" w:rsidR="004B3BDB" w:rsidRDefault="004B3BDB" w:rsidP="0011274B">
      <w:pPr>
        <w:spacing w:after="0" w:line="240" w:lineRule="auto"/>
      </w:pPr>
      <w:r>
        <w:separator/>
      </w:r>
    </w:p>
  </w:footnote>
  <w:footnote w:type="continuationSeparator" w:id="0">
    <w:p w14:paraId="1DB73FC2" w14:textId="77777777" w:rsidR="004B3BDB" w:rsidRDefault="004B3BDB" w:rsidP="0011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E78"/>
    <w:multiLevelType w:val="hybridMultilevel"/>
    <w:tmpl w:val="C4F46C66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F92"/>
    <w:multiLevelType w:val="hybridMultilevel"/>
    <w:tmpl w:val="6C1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58A"/>
    <w:multiLevelType w:val="hybridMultilevel"/>
    <w:tmpl w:val="54D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782"/>
    <w:multiLevelType w:val="hybridMultilevel"/>
    <w:tmpl w:val="5E6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B73"/>
    <w:multiLevelType w:val="hybridMultilevel"/>
    <w:tmpl w:val="996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525"/>
    <w:multiLevelType w:val="hybridMultilevel"/>
    <w:tmpl w:val="368E6662"/>
    <w:lvl w:ilvl="0" w:tplc="42E6E0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71D4"/>
    <w:multiLevelType w:val="hybridMultilevel"/>
    <w:tmpl w:val="B992C8B0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D98"/>
    <w:multiLevelType w:val="hybridMultilevel"/>
    <w:tmpl w:val="9E140C72"/>
    <w:lvl w:ilvl="0" w:tplc="295037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96E"/>
    <w:multiLevelType w:val="hybridMultilevel"/>
    <w:tmpl w:val="034242F4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64C7"/>
    <w:multiLevelType w:val="hybridMultilevel"/>
    <w:tmpl w:val="DD8E1476"/>
    <w:lvl w:ilvl="0" w:tplc="04DA62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03A"/>
    <w:multiLevelType w:val="hybridMultilevel"/>
    <w:tmpl w:val="512C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7D5"/>
    <w:multiLevelType w:val="hybridMultilevel"/>
    <w:tmpl w:val="F3C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981"/>
    <w:multiLevelType w:val="hybridMultilevel"/>
    <w:tmpl w:val="28081946"/>
    <w:lvl w:ilvl="0" w:tplc="F77AA6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92"/>
    <w:rsid w:val="000116A9"/>
    <w:rsid w:val="00012400"/>
    <w:rsid w:val="00015EE6"/>
    <w:rsid w:val="000253EE"/>
    <w:rsid w:val="000318D4"/>
    <w:rsid w:val="000351C6"/>
    <w:rsid w:val="00053F90"/>
    <w:rsid w:val="00090D84"/>
    <w:rsid w:val="000D6F96"/>
    <w:rsid w:val="000E0A30"/>
    <w:rsid w:val="0010288B"/>
    <w:rsid w:val="0011274B"/>
    <w:rsid w:val="001431EB"/>
    <w:rsid w:val="00150FA3"/>
    <w:rsid w:val="00155745"/>
    <w:rsid w:val="00164973"/>
    <w:rsid w:val="00196ABE"/>
    <w:rsid w:val="001D1ADE"/>
    <w:rsid w:val="002214F0"/>
    <w:rsid w:val="002279BD"/>
    <w:rsid w:val="00263835"/>
    <w:rsid w:val="0027601B"/>
    <w:rsid w:val="002A4442"/>
    <w:rsid w:val="002B56E2"/>
    <w:rsid w:val="002B7A0F"/>
    <w:rsid w:val="002C6A6A"/>
    <w:rsid w:val="002E4652"/>
    <w:rsid w:val="002E605C"/>
    <w:rsid w:val="002F1782"/>
    <w:rsid w:val="00302DD1"/>
    <w:rsid w:val="00316665"/>
    <w:rsid w:val="0032121F"/>
    <w:rsid w:val="00374F4E"/>
    <w:rsid w:val="003A07BA"/>
    <w:rsid w:val="003A5366"/>
    <w:rsid w:val="003B377B"/>
    <w:rsid w:val="003E2AA7"/>
    <w:rsid w:val="003E5D05"/>
    <w:rsid w:val="003F3B0D"/>
    <w:rsid w:val="00455F0C"/>
    <w:rsid w:val="00465913"/>
    <w:rsid w:val="00486EC6"/>
    <w:rsid w:val="004A7040"/>
    <w:rsid w:val="004B28F9"/>
    <w:rsid w:val="004B323F"/>
    <w:rsid w:val="004B3BDB"/>
    <w:rsid w:val="004C56D0"/>
    <w:rsid w:val="004D6991"/>
    <w:rsid w:val="004D7DB7"/>
    <w:rsid w:val="004F716C"/>
    <w:rsid w:val="00506B2D"/>
    <w:rsid w:val="005268C1"/>
    <w:rsid w:val="00551F5A"/>
    <w:rsid w:val="00570926"/>
    <w:rsid w:val="005750E4"/>
    <w:rsid w:val="005A35B6"/>
    <w:rsid w:val="005A6A8C"/>
    <w:rsid w:val="005B18E3"/>
    <w:rsid w:val="005C19A3"/>
    <w:rsid w:val="005D0E98"/>
    <w:rsid w:val="005F4AD8"/>
    <w:rsid w:val="005F7392"/>
    <w:rsid w:val="00623133"/>
    <w:rsid w:val="00623E2E"/>
    <w:rsid w:val="0062457B"/>
    <w:rsid w:val="00642F52"/>
    <w:rsid w:val="00667321"/>
    <w:rsid w:val="006767FD"/>
    <w:rsid w:val="00696C5D"/>
    <w:rsid w:val="006E0F3C"/>
    <w:rsid w:val="006F7DAA"/>
    <w:rsid w:val="00715204"/>
    <w:rsid w:val="007158CD"/>
    <w:rsid w:val="007733D9"/>
    <w:rsid w:val="007D1411"/>
    <w:rsid w:val="007E441C"/>
    <w:rsid w:val="007E6F91"/>
    <w:rsid w:val="007F467E"/>
    <w:rsid w:val="00810386"/>
    <w:rsid w:val="00816CA4"/>
    <w:rsid w:val="00820A81"/>
    <w:rsid w:val="00824937"/>
    <w:rsid w:val="0083119E"/>
    <w:rsid w:val="008646E8"/>
    <w:rsid w:val="00872212"/>
    <w:rsid w:val="00896E50"/>
    <w:rsid w:val="008A16D8"/>
    <w:rsid w:val="008A2012"/>
    <w:rsid w:val="0095434F"/>
    <w:rsid w:val="00970C10"/>
    <w:rsid w:val="009900E7"/>
    <w:rsid w:val="009B15DC"/>
    <w:rsid w:val="009C3CFE"/>
    <w:rsid w:val="009C7E8D"/>
    <w:rsid w:val="00A65326"/>
    <w:rsid w:val="00A86B14"/>
    <w:rsid w:val="00A90802"/>
    <w:rsid w:val="00A9159D"/>
    <w:rsid w:val="00AE5FAB"/>
    <w:rsid w:val="00AF057C"/>
    <w:rsid w:val="00B10540"/>
    <w:rsid w:val="00B10E2B"/>
    <w:rsid w:val="00B22F87"/>
    <w:rsid w:val="00B340CF"/>
    <w:rsid w:val="00B4332D"/>
    <w:rsid w:val="00B44DF2"/>
    <w:rsid w:val="00BB6547"/>
    <w:rsid w:val="00BC7AED"/>
    <w:rsid w:val="00BE7108"/>
    <w:rsid w:val="00C003B1"/>
    <w:rsid w:val="00C07A5B"/>
    <w:rsid w:val="00C2301A"/>
    <w:rsid w:val="00C44B61"/>
    <w:rsid w:val="00C84DC0"/>
    <w:rsid w:val="00CA6539"/>
    <w:rsid w:val="00CB4B4E"/>
    <w:rsid w:val="00CD67BB"/>
    <w:rsid w:val="00CF24A7"/>
    <w:rsid w:val="00D65D11"/>
    <w:rsid w:val="00DA3EF1"/>
    <w:rsid w:val="00DB1489"/>
    <w:rsid w:val="00DB4488"/>
    <w:rsid w:val="00DB5EBB"/>
    <w:rsid w:val="00DD1E84"/>
    <w:rsid w:val="00DF0003"/>
    <w:rsid w:val="00EC79E5"/>
    <w:rsid w:val="00ED1513"/>
    <w:rsid w:val="00F07250"/>
    <w:rsid w:val="00F4516D"/>
    <w:rsid w:val="00F6617E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B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5F4AD8"/>
    <w:rPr>
      <w:color w:val="808080"/>
    </w:rPr>
  </w:style>
  <w:style w:type="table" w:styleId="TableGrid">
    <w:name w:val="Table Grid"/>
    <w:basedOn w:val="TableNormal"/>
    <w:uiPriority w:val="59"/>
    <w:rsid w:val="005A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52</cp:revision>
  <dcterms:created xsi:type="dcterms:W3CDTF">2015-03-06T20:22:00Z</dcterms:created>
  <dcterms:modified xsi:type="dcterms:W3CDTF">2023-04-11T19:43:00Z</dcterms:modified>
</cp:coreProperties>
</file>