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45125D" w:rsidP="0045125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 xml:space="preserve">             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45125D" w:rsidRDefault="0045125D" w:rsidP="0045125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            </w:t>
      </w:r>
      <w:r w:rsidR="00E0566E" w:rsidRPr="006A62B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Cardiovascular disorders</w:t>
      </w:r>
    </w:p>
    <w:p w:rsidR="00E0566E" w:rsidRPr="00F8579A" w:rsidRDefault="0045125D" w:rsidP="00AF560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  <w:rtl/>
          <w:lang w:bidi="ar-IQ"/>
        </w:rPr>
      </w:pPr>
      <w:r w:rsidRPr="00F8579A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 xml:space="preserve">               </w:t>
      </w:r>
      <w:r w:rsidR="00AF560B" w:rsidRPr="00F8579A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>Ischemic Heart Disease</w:t>
      </w:r>
      <w:r w:rsidRPr="00F8579A">
        <w:rPr>
          <w:rFonts w:asciiTheme="majorBidi" w:eastAsia="Times New Roman" w:hAnsiTheme="majorBidi" w:cstheme="majorBidi" w:hint="cs"/>
          <w:b/>
          <w:bCs/>
          <w:color w:val="0000FF"/>
          <w:sz w:val="40"/>
          <w:szCs w:val="40"/>
          <w:rtl/>
          <w:lang w:bidi="ar-IQ"/>
        </w:rPr>
        <w:t xml:space="preserve">   </w:t>
      </w:r>
    </w:p>
    <w:p w:rsidR="00C67677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Introduction</w:t>
      </w:r>
    </w:p>
    <w:p w:rsid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Ischemic heart disease (IHD) is defined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as lack of oxygen and decreased or no blood flow to the myocardium resulting from coronary artery</w:t>
      </w:r>
      <w:r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narrowing or obstruction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F8579A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345835" w:rsidP="00B279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It may present as </w:t>
      </w:r>
      <w:r w:rsidR="00C67677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>acute coronary syndrome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ACS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B279A6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which includes unstable angina and non</w:t>
      </w:r>
      <w:r w:rsidR="00C67677" w:rsidRPr="00C6767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ST-segment elevation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NSTE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) or ST-segment elevation 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STE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) myocardial infarction (MI)</w:t>
      </w:r>
      <w:r w:rsidR="00B279A6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stable exertional angina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ischemia without symptoms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microvascular</w:t>
      </w:r>
      <w:r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angina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ischemia due to coronary artery vasospasm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variant or </w:t>
      </w:r>
      <w:proofErr w:type="spellStart"/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Prinzmetal</w:t>
      </w:r>
      <w:proofErr w:type="spellEnd"/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angina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</w:p>
    <w:p w:rsidR="008D5E15" w:rsidRDefault="008D5E15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Pathophysiology </w:t>
      </w:r>
    </w:p>
    <w:p w:rsidR="00653A5B" w:rsidRPr="00F6798A" w:rsidRDefault="00345835" w:rsidP="00497B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Angina pectoris usually results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from increased myocardial oxygen demand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in the setting of a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fixed decrease in myocardial oxygen supply</w:t>
      </w:r>
      <w:r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because of atherosclerotic plaque.</w:t>
      </w:r>
    </w:p>
    <w:p w:rsidR="00345835" w:rsidRPr="00F8579A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F6798A" w:rsidRDefault="003F1330" w:rsidP="00B279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Major determinants of </w:t>
      </w:r>
      <w:r w:rsidR="00B279A6" w:rsidRPr="00497B83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are heart rate (HR), myocardial contractility, and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intramyocardial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wall tension during systole.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 doubling in any of</w:t>
      </w:r>
      <w:r w:rsidR="00345835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these individual parameters requires a 50% increase in coronary flow to maintain myocardial supply.</w:t>
      </w:r>
    </w:p>
    <w:p w:rsidR="000B478D" w:rsidRPr="00F8579A" w:rsidRDefault="000B478D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F1330" w:rsidRDefault="00F6798A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3F1330">
        <w:rPr>
          <w:rFonts w:asciiTheme="majorBidi" w:hAnsiTheme="majorBidi" w:cstheme="majorBidi"/>
          <w:color w:val="333333"/>
          <w:sz w:val="28"/>
          <w:szCs w:val="28"/>
        </w:rPr>
        <w:t>C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oronary plaques that occupy less than 50%</w:t>
      </w:r>
      <w:r w:rsidR="00653A5B" w:rsidRPr="00653A5B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70% of the vessel luminal diameter rarely produce ischemia or angina. However, </w:t>
      </w:r>
      <w:r w:rsidR="00653A5B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>smaller plaques have a lipid-rich core and thin fibrous cap and</w:t>
      </w:r>
      <w:r w:rsidR="003F1330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>are more prone to rupture and cause acute thrombosis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F1330" w:rsidRPr="00B418A6" w:rsidRDefault="003F1330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F1330" w:rsidRDefault="00F8579A" w:rsidP="00F679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When the luminal diameter of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epicardial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vessels is reduced by 70% or more, minimal physical exertion may result in a flow deficit with</w:t>
      </w:r>
      <w:r w:rsid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myocardial ischemia and often angina. </w:t>
      </w:r>
    </w:p>
    <w:p w:rsidR="00F6798A" w:rsidRPr="00B418A6" w:rsidRDefault="00F6798A" w:rsidP="00F679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Default="00497B83" w:rsidP="00497B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2B38B8">
        <w:rPr>
          <w:rFonts w:asciiTheme="majorBidi" w:hAnsiTheme="majorBidi" w:cstheme="majorBidi"/>
          <w:color w:val="333333"/>
          <w:sz w:val="28"/>
          <w:szCs w:val="28"/>
        </w:rPr>
        <w:t xml:space="preserve">Some patients have plaque that causes a fixed decrease in supply but also have reduced myocardial oxygen supply transiently </w:t>
      </w:r>
      <w:r w:rsidR="00653A5B" w:rsidRPr="002B38B8">
        <w:rPr>
          <w:rFonts w:asciiTheme="majorBidi" w:hAnsiTheme="majorBidi" w:cstheme="majorBidi"/>
          <w:b/>
          <w:bCs/>
          <w:color w:val="333333"/>
          <w:sz w:val="28"/>
          <w:szCs w:val="28"/>
        </w:rPr>
        <w:t>due to vasospasm</w:t>
      </w:r>
      <w:r w:rsidR="00F6798A" w:rsidRPr="002B38B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2B38B8">
        <w:rPr>
          <w:rFonts w:asciiTheme="majorBidi" w:hAnsiTheme="majorBidi" w:cstheme="majorBidi"/>
          <w:b/>
          <w:bCs/>
          <w:color w:val="333333"/>
          <w:sz w:val="28"/>
          <w:szCs w:val="28"/>
        </w:rPr>
        <w:t>at the site of the plaque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2B38B8">
        <w:rPr>
          <w:rFonts w:asciiTheme="majorBidi" w:hAnsiTheme="majorBidi" w:cstheme="majorBidi"/>
          <w:color w:val="333333"/>
          <w:sz w:val="28"/>
          <w:szCs w:val="28"/>
        </w:rPr>
        <w:t xml:space="preserve">(referred to as </w:t>
      </w:r>
      <w:r w:rsidR="00653A5B" w:rsidRPr="002B38B8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variable threshold angina</w:t>
      </w:r>
      <w:r w:rsidR="00653A5B" w:rsidRPr="002B38B8">
        <w:rPr>
          <w:rFonts w:asciiTheme="majorBidi" w:hAnsiTheme="majorBidi" w:cstheme="majorBidi"/>
          <w:color w:val="333333"/>
          <w:sz w:val="28"/>
          <w:szCs w:val="28"/>
        </w:rPr>
        <w:t>).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Ischemic episodes may be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more common in the</w:t>
      </w:r>
      <w:r w:rsidR="003F1330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morning hours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(due to circadian release of vasoconstrictors) and be precipitated by cold exposure and emotional or mental stress.</w:t>
      </w:r>
    </w:p>
    <w:p w:rsidR="003F1330" w:rsidRPr="00B418A6" w:rsidRDefault="003F1330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497B83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Patients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variant (</w:t>
      </w:r>
      <w:proofErr w:type="spellStart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Prinzmetal</w:t>
      </w:r>
      <w:proofErr w:type="spellEnd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) angina usually do not have a coronary flow-obstructing plaque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but instead have significant reduction in</w:t>
      </w:r>
      <w:r w:rsid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myocardial oxygen supply due to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vasospasm in </w:t>
      </w:r>
      <w:proofErr w:type="spellStart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epicardial</w:t>
      </w:r>
      <w:proofErr w:type="spellEnd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vessels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418A6" w:rsidRPr="00B418A6" w:rsidRDefault="00B418A6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746CE" w:rsidRDefault="000746CE" w:rsidP="00B418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 presentation</w:t>
      </w:r>
    </w:p>
    <w:p w:rsidR="00345835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Patients typically complain of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chest pain precipitated by exertion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or activities of daily living that is described as squeezing, crushing, heaviness, or</w:t>
      </w:r>
      <w:r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chest tightness. It can also be more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vague and described as a numbness or burning in the chest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345835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The location is often </w:t>
      </w:r>
      <w:proofErr w:type="spellStart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substernal</w:t>
      </w:r>
      <w:proofErr w:type="spellEnd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and may radiate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to the right or left shoulder or arm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(left more commonly),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neck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back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abdomen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. Ischemic symptoms may be associated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diaphoresis,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nausea, vomiting, and dyspnea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F8579A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Chest pain generally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lasts from 5 to 20 minutes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and is usually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relieved by rest or sublingual nitroglycerin (SL NTG).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Some patients (especially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women and older individuals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) present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atypical chest pain,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characterized by </w:t>
      </w:r>
      <w:proofErr w:type="spellStart"/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midepigastric</w:t>
      </w:r>
      <w:proofErr w:type="spellEnd"/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discomfort, effort</w:t>
      </w:r>
      <w:r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intolerance, dyspnea, and excessive fatigue.</w:t>
      </w:r>
      <w:r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with diabetes mellitus may have decreased pain sensation due to neuropathy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345835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variant (</w:t>
      </w:r>
      <w:proofErr w:type="spellStart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Prinzmetal</w:t>
      </w:r>
      <w:proofErr w:type="spellEnd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angina are typically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younger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and may present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chest pain at rest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, often early in the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morning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, and may have</w:t>
      </w:r>
      <w:r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transient ST-segment elevation on the ECG.</w:t>
      </w:r>
    </w:p>
    <w:p w:rsidR="000746CE" w:rsidRPr="00B418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Default="000746C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345835" w:rsidRDefault="00F8579A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Obtain the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medical history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to identify the quality and severity of chest pain, precipitating factors, location, duration, pain radiation, and response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to nitroglycerin or rest. 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F8579A" w:rsidRDefault="00F8579A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Ischemic chest pain may resemble pain from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noncardiac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sources, and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diagnosis of anginal pain may be difficult based on</w:t>
      </w:r>
      <w:r w:rsidR="00345835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history alone.</w:t>
      </w:r>
    </w:p>
    <w:p w:rsidR="00F8579A" w:rsidRPr="00B418A6" w:rsidRDefault="00F8579A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B478D" w:rsidRDefault="00F8579A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Assess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nonmodifiable risk factors for coronary artery disease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(CAD): age, sex, and family history of premature atherosclerotic disease in first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degree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relatives (male onset before age 55 or female before age 65).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Default="00F8579A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Identify the presence of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modifiable CAD risk factors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: hypertension, diabetes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mellitus, dyslipidemia, and cigarette smoking.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B478D" w:rsidRDefault="00F8579A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Physical exam findings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are usually nonspecific, but patients having an ischemic episode may present with tachycardia, diaphoresis, shortness of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breath, nausea, vomiting, and lightheadedness.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497B83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Markers of inflammation, such as high-sensitivity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C-reactive protein (</w:t>
      </w:r>
      <w:proofErr w:type="spellStart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hs</w:t>
      </w:r>
      <w:proofErr w:type="spellEnd"/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-CRP), may be elevated.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Cardiac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troponin concentrations are not typically elevated in stable IHD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B478D" w:rsidRPr="00B418A6" w:rsidRDefault="000B478D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B478D" w:rsidRPr="00F8579A" w:rsidRDefault="00497B83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Resting ECG is normal in at least half of patients with angina who are not experiencing acute ischemia.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About 50% of patients develop ischemic 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ECG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changes during an episode of angina, which can be observed on the ECG during an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exercise stress test.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497B83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Coronary angiography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is the most accurate test for confirming CAD but is invasive and requires arterial access. Myocardial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perfusion imaging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cardiac magnetic resonance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CT angiography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can also be used to detect CAD.</w:t>
      </w:r>
    </w:p>
    <w:p w:rsidR="000746CE" w:rsidRPr="00B418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</w:p>
    <w:p w:rsidR="00F8579A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Goals of Treatment: </w:t>
      </w:r>
    </w:p>
    <w:p w:rsidR="00653A5B" w:rsidRPr="00653A5B" w:rsidRDefault="00F8579A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 primary goal of therapy is complete (or nearly complete)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elimination of anginal chest pain and return to normal activities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F8579A" w:rsidRPr="00B418A6" w:rsidRDefault="00F8579A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653A5B" w:rsidRDefault="00F8579A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Long-term goals are to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slow progression of atherosclerosis and prevent complications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such as MI, heart failure, stroke, and death.</w:t>
      </w:r>
      <w:r w:rsidR="00405882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</w:p>
    <w:p w:rsidR="00653A5B" w:rsidRPr="00653A5B" w:rsidRDefault="003F1330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Lifestyle modifications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include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daily physical activity, weight management, dietary therapy (reduced intake of saturated fats, trans-fatty acids, and cholesterol), smoking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lastRenderedPageBreak/>
        <w:t>cessation, psychological interventions (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screening and treatment for depression if appropriate), limitation of alcohol intake, and avoiding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exposure to air pollution.</w:t>
      </w:r>
    </w:p>
    <w:p w:rsidR="003F1330" w:rsidRPr="00B418A6" w:rsidRDefault="003F1330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3F1330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Surgical revascularization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options for select patients include coronary artery bypass grafting (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CABG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 or percutaneous coronary intervention (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PCI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with or without stent placement.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3F1330" w:rsidRDefault="00F8579A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Guideline-directed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medical therapy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(GDMT)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reduces the rates of death and MI similar to revascularization therapy.</w:t>
      </w:r>
    </w:p>
    <w:p w:rsidR="003F1330" w:rsidRPr="00B418A6" w:rsidRDefault="003F1330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F8579A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Approaches to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risk factor modification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include the following recommendations:</w:t>
      </w:r>
    </w:p>
    <w:p w:rsidR="00653A5B" w:rsidRPr="00F8579A" w:rsidRDefault="00653A5B" w:rsidP="00702A0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Dyslipidemia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: Use moderate- or high-dose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statin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therapy in addition to lifestyle</w:t>
      </w:r>
      <w:r w:rsidR="003F1330"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changes. Addition of </w:t>
      </w:r>
      <w:proofErr w:type="spellStart"/>
      <w:r w:rsidRPr="003F1330">
        <w:rPr>
          <w:rFonts w:asciiTheme="majorBidi" w:hAnsiTheme="majorBidi" w:cstheme="majorBidi"/>
          <w:color w:val="333333"/>
          <w:sz w:val="28"/>
          <w:szCs w:val="28"/>
        </w:rPr>
        <w:t>ezetimibe</w:t>
      </w:r>
      <w:proofErr w:type="spellEnd"/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(first) or a PCSK9 inhibitor (second) is reasonable for patients who do not tolerate statins or do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not attain a</w:t>
      </w:r>
      <w:r w:rsidR="003F1330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50% decrease in LDL cholesterol (or LDL remains above 70</w:t>
      </w:r>
      <w:r w:rsidRPr="00F8579A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100 mg/</w:t>
      </w:r>
      <w:proofErr w:type="spellStart"/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dL</w:t>
      </w:r>
      <w:proofErr w:type="spellEnd"/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).</w:t>
      </w:r>
    </w:p>
    <w:p w:rsidR="00653A5B" w:rsidRPr="003F1330" w:rsidRDefault="00653A5B" w:rsidP="003F133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Blood pressure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: If BP is </w:t>
      </w:r>
      <w:r w:rsidRPr="003F1330">
        <w:rPr>
          <w:rFonts w:asciiTheme="majorBidi" w:hAnsiTheme="majorBidi" w:cstheme="majorBidi" w:hint="cs"/>
          <w:color w:val="333333"/>
          <w:sz w:val="28"/>
          <w:szCs w:val="28"/>
        </w:rPr>
        <w:t>≥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130/80 mm Hg, institute drug therapy in addition to or after a trial of lifestyle modifications.</w:t>
      </w:r>
    </w:p>
    <w:p w:rsidR="00653A5B" w:rsidRDefault="00653A5B" w:rsidP="00F8579A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Diabetes mellitus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: Pharmacotherapy to achieve a target A1C of </w:t>
      </w:r>
      <w:r w:rsidRPr="003F1330">
        <w:rPr>
          <w:rFonts w:asciiTheme="majorBidi" w:hAnsiTheme="majorBidi" w:cstheme="majorBidi" w:hint="cs"/>
          <w:color w:val="333333"/>
          <w:sz w:val="28"/>
          <w:szCs w:val="28"/>
        </w:rPr>
        <w:t>≤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7% is reasonable for select patients (</w:t>
      </w:r>
      <w:proofErr w:type="spellStart"/>
      <w:r w:rsidRPr="003F1330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Pr="003F1330">
        <w:rPr>
          <w:rFonts w:asciiTheme="majorBidi" w:hAnsiTheme="majorBidi" w:cstheme="majorBidi"/>
          <w:color w:val="333333"/>
          <w:sz w:val="28"/>
          <w:szCs w:val="28"/>
        </w:rPr>
        <w:t>, short duration</w:t>
      </w:r>
      <w:r w:rsidR="003F1330"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of diabetes and long life expectancy). An A1C goal of &lt;8% is reasonable for other patients, such as those with micro- or macrovascular</w:t>
      </w:r>
      <w:r w:rsidR="003F1330"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complications or coexisting medical conditions.</w:t>
      </w:r>
    </w:p>
    <w:p w:rsidR="003F1330" w:rsidRDefault="003F1330" w:rsidP="003F133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Annual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influenza vaccinations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are recommended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418A6" w:rsidRPr="00B418A6" w:rsidRDefault="00B418A6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345835" w:rsidRDefault="00653A5B" w:rsidP="00B418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t>Antiplatelet Therapy</w:t>
      </w: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Aspirin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reduced platelet activation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and aggregation. A small percentage of patients are nonresponsive to aspirin's antiplatelet effects.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497B83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The ACC/AHA guidelines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contain the following recommendations for stable IHD:</w:t>
      </w:r>
    </w:p>
    <w:p w:rsidR="00653A5B" w:rsidRPr="00956828" w:rsidRDefault="00653A5B" w:rsidP="0095682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Aspirin</w:t>
      </w:r>
      <w:r w:rsidRPr="00956828">
        <w:rPr>
          <w:rFonts w:asciiTheme="majorBidi" w:hAnsiTheme="majorBidi" w:cstheme="majorBidi"/>
          <w:color w:val="333333"/>
          <w:sz w:val="28"/>
          <w:szCs w:val="28"/>
        </w:rPr>
        <w:t>: 75</w:t>
      </w:r>
      <w:r w:rsidRPr="00956828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Pr="00956828">
        <w:rPr>
          <w:rFonts w:asciiTheme="majorBidi" w:hAnsiTheme="majorBidi" w:cstheme="majorBidi"/>
          <w:color w:val="333333"/>
          <w:sz w:val="28"/>
          <w:szCs w:val="28"/>
        </w:rPr>
        <w:t>162 mg daily should be continued indefinitely in the absence of contraindications.</w:t>
      </w:r>
    </w:p>
    <w:p w:rsidR="00956828" w:rsidRDefault="00653A5B" w:rsidP="0095682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Clopidogrel</w:t>
      </w:r>
      <w:r w:rsidRPr="00956828">
        <w:rPr>
          <w:rFonts w:asciiTheme="majorBidi" w:hAnsiTheme="majorBidi" w:cstheme="majorBidi"/>
          <w:color w:val="333333"/>
          <w:sz w:val="28"/>
          <w:szCs w:val="28"/>
        </w:rPr>
        <w:t xml:space="preserve">: 75 mg daily is an appropriate alternative when aspirin is contraindicated.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7B678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 responsiveness to clopidogrel is highly</w:t>
      </w:r>
      <w:r w:rsidR="00956828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variable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with estimates of nonresponsiveness ranging from 5% to 44% of patients. The most common cause of nonresponsiveness is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nonadherence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but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genetic polymorphisms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to CYP2C19 may contribute in some patients.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712FF" w:rsidRDefault="007B6788" w:rsidP="00497B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Some studies have suggested that patients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receiving a </w:t>
      </w:r>
      <w:r w:rsid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PPI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(most often omeprazole) together with clopidogrel have reduced antiplatelet activity and more ischemic</w:t>
      </w:r>
      <w:r w:rsidR="007712F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events due to inhibition of cytochrome P450 enzymes involved in converting clopidogrel to its active metabolite. However, </w:t>
      </w:r>
      <w:r w:rsidR="00497B83">
        <w:rPr>
          <w:rFonts w:asciiTheme="majorBidi" w:hAnsiTheme="majorBidi" w:cstheme="majorBidi"/>
          <w:color w:val="333333"/>
          <w:sz w:val="28"/>
          <w:szCs w:val="28"/>
        </w:rPr>
        <w:t>a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clinical trial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found no increased rate of clinical events in patients given clopidogrel plus</w:t>
      </w:r>
      <w:r w:rsidR="00956828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omeprazole.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7B678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Dual antiplatelet therapy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(DAPT) with aspirin plus a P2Y12 inhibitor (clopidogrel,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prasugrel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ticagrelor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) is beneficial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after PCI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with</w:t>
      </w:r>
      <w:r w:rsidR="00956828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coronary stent placement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after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for ACS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 The combination of aspirin (75</w:t>
      </w:r>
      <w:r w:rsidR="00653A5B" w:rsidRPr="00653A5B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162 mg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daily) and clopidogrel 75 mg daily may be reasonable in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certain high-risk patients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345835" w:rsidRDefault="00653A5B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Angiotensin-Converting Enzyme (ACE) Inhibitors and Angiotensin Receptor Blockers (ARBs)</w:t>
      </w:r>
    </w:p>
    <w:p w:rsidR="00956828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inhibitors have not been shown to improve symptomatic</w:t>
      </w: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ischemia or reduce chest pain episodes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The ACC/AHA guidelines for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stable IHD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recommend the following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strategies:</w:t>
      </w:r>
    </w:p>
    <w:p w:rsidR="00653A5B" w:rsidRPr="007B6788" w:rsidRDefault="00653A5B" w:rsidP="0092290D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Use ACE inhibitors in patients who also have</w:t>
      </w:r>
      <w:r w:rsidRPr="00956828">
        <w:rPr>
          <w:rFonts w:asciiTheme="majorBidi" w:hAnsiTheme="majorBidi" w:cstheme="majorBidi"/>
          <w:color w:val="333333"/>
          <w:sz w:val="28"/>
          <w:szCs w:val="28"/>
        </w:rPr>
        <w:t xml:space="preserve"> hypertension, diabetes, </w:t>
      </w:r>
      <w:r w:rsidR="0092290D" w:rsidRPr="007B6788">
        <w:rPr>
          <w:rFonts w:asciiTheme="majorBidi" w:hAnsiTheme="majorBidi" w:cstheme="majorBidi"/>
          <w:color w:val="333333"/>
          <w:sz w:val="28"/>
          <w:szCs w:val="28"/>
        </w:rPr>
        <w:t>heart failure with reduced ejection fraction (</w:t>
      </w:r>
      <w:proofErr w:type="spellStart"/>
      <w:r w:rsidR="0092290D" w:rsidRPr="007B6788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92290D" w:rsidRPr="007B6788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, or chronic kidney disease, unless contraindicated.</w:t>
      </w:r>
    </w:p>
    <w:p w:rsidR="00653A5B" w:rsidRPr="007B6788" w:rsidRDefault="00653A5B" w:rsidP="0095682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ARBs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are recommended for the same populations if patients are </w:t>
      </w:r>
      <w:r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intolerant to ACE inhibitors.</w:t>
      </w:r>
    </w:p>
    <w:p w:rsidR="00653A5B" w:rsidRPr="007B6788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B6788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B6788">
        <w:rPr>
          <w:rFonts w:asciiTheme="majorBidi" w:hAnsiTheme="majorBidi" w:cstheme="majorBidi"/>
          <w:b/>
          <w:bCs/>
          <w:color w:val="FF0000"/>
          <w:sz w:val="32"/>
          <w:szCs w:val="32"/>
        </w:rPr>
        <w:t>β-Adrenergic Blockers</w:t>
      </w:r>
    </w:p>
    <w:p w:rsidR="00653A5B" w:rsidRPr="00653A5B" w:rsidRDefault="00956828" w:rsidP="009229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β-Blockers competitively inhibit the effects of </w:t>
      </w:r>
      <w:proofErr w:type="spellStart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neuronally</w:t>
      </w:r>
      <w:proofErr w:type="spellEnd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released and circulating catecholamines on β-adrenoceptors. Blockade of β1-receptors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in the heart and kidney reduces HR, contractility, and BP, thereby decreasing </w:t>
      </w:r>
      <w:r w:rsidR="0092290D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β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-Blockers are recommended over calcium channel blockers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(CCBs) for initial control of angina episodes in patients with stable IHD.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The target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to lower the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resting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HR to 50</w:t>
      </w:r>
      <w:r w:rsidR="00653A5B" w:rsidRPr="007712F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60 beats/min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the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exercise HR to &lt;100 beats/min.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For patients (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elderly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 who cannot tolerate these ranges,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target HR should be as low as can be tolerated above 50 beats/min.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may be combined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with CCBs or long-acting nitrates when initial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treatment with β-blockers alone is unsuccessful.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Only the β-blockers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carvedilol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metoprolol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succinate, and </w:t>
      </w:r>
      <w:proofErr w:type="spellStart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bisoprolol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should be used in patients with </w:t>
      </w:r>
      <w:proofErr w:type="spellStart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HFrEF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starting with low doses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titrating upward slowly.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β1-Selective agents are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preferred in patients with chronic obstructive pulmonary disease, peripheral arterial disease (PAD), diabetes, dyslipidemia, and sexual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dysfunction.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712FF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Drugs with combined α1- and β-blockade are effective for IHD, but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agents with intrinsic sympathomimetic activity provide little to no</w:t>
      </w: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reduction in resting HR and are not preferred except perhaps in patients with PAD or dyslipidemia.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 adverse effects include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hypotension, heart block, impaired glucose metabolism, altered serum lipids (transiently increased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triglycerides, decreased HDL-C, and no change in LDL-C), fatigue, depression, insomnia, and malaise.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are contraindicated in patients</w:t>
      </w: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with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preexisting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hypotension, 2nd- or 3rd-degree atrioventricular (AV) block, uncontrolled asthma, severe PAD, hypotension,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with unstable fluid status, and diabetes associated with frequent episodes of hypoglycemia.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B6788" w:rsidRDefault="00956828" w:rsidP="009229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10-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If β-blocker therapy must be discontinued, doses should be tapered over 2</w:t>
      </w:r>
      <w:r w:rsidR="00653A5B" w:rsidRPr="007B678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3 weeks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to prevent abrupt withdrawal, which can significantly increase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2290D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92290D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and induce ischemia and even MI because of up-regulation of β-receptors in the myocardium.</w:t>
      </w:r>
    </w:p>
    <w:p w:rsidR="00653A5B" w:rsidRPr="007B6788" w:rsidRDefault="00653A5B" w:rsidP="00653A5B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702A0C" w:rsidRDefault="00702A0C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653A5B" w:rsidRPr="007B6788" w:rsidRDefault="00653A5B" w:rsidP="00702A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B6788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Calcium Channel Blockers</w:t>
      </w:r>
    </w:p>
    <w:p w:rsidR="00653A5B" w:rsidRPr="00653A5B" w:rsidRDefault="000B478D" w:rsidP="009229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All CCBs reduce </w:t>
      </w:r>
      <w:r w:rsidR="0092290D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by reducing wall tension via lowering arterial BP and (to a minor extent) depressing contractility. CCBs also provide some increase in supply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by inducing coronary vasodilation and preventing vasospasm.</w:t>
      </w:r>
      <w:r w:rsidR="009229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712FF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CCBs or long-acting nitrates should be prescribed for relief of symptoms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β-blockers are contraindicated or cause unacceptable side effects.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Pr="007712FF" w:rsidRDefault="000B478D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Dihydropyridine CCBs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nifedipine, amlodipine,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isradipine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and felodipine) primarily affect vascular smooth muscle with little effect 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the myocardium.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Default="007712FF" w:rsidP="007712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4-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Short-acting agents should not be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used because of their greater propensity to cause reflex tachycardia.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Other side effects of these CCBs include hypotension, headache, gingival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hyperplasia, and peripheral edema.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712FF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Although most CCBs are contraindicated in patients with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amlodipine and felodipine are considered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safe options in these patients.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Default="007712FF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Nondihydropyridine CCBs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diltiazem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) mostly affect the myocardium with minimal effects on vascular smooth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muscle</w:t>
      </w:r>
      <w:r w:rsidR="007B6788" w:rsidRPr="007B6788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</w:t>
      </w:r>
      <w:proofErr w:type="spellEnd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side effects of these CCBs include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bradycardia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hypotension, AV block, and symptoms of LV depression. These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agents should be avoided in patients with concomitant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HFrEF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due to negative inotropic effects.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Pr="007B6788" w:rsidRDefault="007B6788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7712FF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 may cause constipation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in </w:t>
      </w:r>
      <w:r w:rsidR="00653A5B" w:rsidRPr="007B6788">
        <w:rPr>
          <w:rFonts w:asciiTheme="majorBidi" w:hAnsiTheme="majorBidi" w:cstheme="majorBidi" w:hint="eastAsia"/>
          <w:color w:val="333333"/>
          <w:sz w:val="28"/>
          <w:szCs w:val="28"/>
        </w:rPr>
        <w:t>∼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8% of</w:t>
      </w:r>
      <w:r w:rsidR="000B478D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patients.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 and diltiazem inhibit clearance of drugs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that utilize the cytochrome P450 3A4 </w:t>
      </w:r>
      <w:proofErr w:type="spellStart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isoenzyme</w:t>
      </w:r>
      <w:proofErr w:type="spellEnd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such as carbamazepine, cyclosporine,</w:t>
      </w:r>
      <w:r w:rsidR="000B478D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lovastatin, simvastatin, and benzodiazepines. </w:t>
      </w:r>
    </w:p>
    <w:p w:rsidR="000B478D" w:rsidRPr="007B6788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Pr="007B6788" w:rsidRDefault="007B6788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7712FF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Verapamil, and to a lesser extent diltiazem, also inhibit P-glycoprotein</w:t>
      </w:r>
      <w:r w:rsidR="00653A5B" w:rsidRPr="007B678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mediated drug transport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0B478D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which can increase concentrations of digoxin and cyclosporine. Verapamil also decreases digoxin clearance. </w:t>
      </w:r>
    </w:p>
    <w:p w:rsidR="000B478D" w:rsidRPr="007B6788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653A5B" w:rsidRDefault="007B6788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7712FF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Agents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that induce the 3A4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isoenzyme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can reduce the effectiveness of all CCBs.</w:t>
      </w:r>
    </w:p>
    <w:p w:rsidR="00653A5B" w:rsidRPr="00B418A6" w:rsidRDefault="00653A5B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345835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t>Nitrates</w:t>
      </w:r>
    </w:p>
    <w:p w:rsidR="00345835" w:rsidRPr="007B6788" w:rsidRDefault="00345835" w:rsidP="00E31A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Nitrates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cause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vasodilation.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Most vasodilation occurs on the venous side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, leading to reduced preload, myocardial wall tension, and </w:t>
      </w:r>
      <w:r w:rsidR="00E31AE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All patients should have access to sublingual (SL) NTG 0.3 or 0.4 mg tablets or spray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to treat acute angina episodes. Relief typically occurs within 5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minutes of administration.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SL nitrates can also be used to prevent acute episodes if given 2</w:t>
      </w:r>
      <w:r w:rsidR="00653A5B" w:rsidRPr="007B678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5 minutes before activities known to produce angina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; protection can last for up to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30 minutes with SL NTG and up to 1 hour with SL isosorbide </w:t>
      </w:r>
      <w:proofErr w:type="spellStart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dinitrate</w:t>
      </w:r>
      <w:proofErr w:type="spellEnd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(ISDN).</w:t>
      </w:r>
    </w:p>
    <w:p w:rsidR="00345835" w:rsidRPr="00B418A6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345835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Long-acting nitrates (or CCBs) should be prescribed for relief of symptoms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β-blockers are contraindicated or cause unacceptable side</w:t>
      </w:r>
      <w:r w:rsidR="00345835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effects.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345835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Transdermal patches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isosorbide </w:t>
      </w:r>
      <w:proofErr w:type="spellStart"/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mononitrate</w:t>
      </w:r>
      <w:proofErr w:type="spellEnd"/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(ISMN)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are most commonly prescribed for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long-term prevention of angina episodes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ISDN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is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also effective, but the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three times daily regimen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requires dosing every 4</w:t>
      </w:r>
      <w:r w:rsidR="00653A5B" w:rsidRPr="007B6788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5 hours during the day to provide a nitrate-free interval.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7B6788" w:rsidP="00E31A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nitrate</w:t>
      </w:r>
      <w:r w:rsidR="00345835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use should incorporate a 10- to 14-hour nitrate-free interval each day to reduce nitrate tolerance.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Because this approach places the patient at risk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for angina episodes, the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nitrate-free interval is usually provided during the nighttime hours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when the patient has a reduced </w:t>
      </w:r>
      <w:r w:rsidR="00E31AE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while sleeping.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345835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extended-release ISMN products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that are dosed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twice daily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should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be given 7 hours apart (</w:t>
      </w:r>
      <w:proofErr w:type="spellStart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, 7:00 AM and 2:00 PM). An extended-release, once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daily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ISMN product is available that provides 12 hours of nitrate exposure followed by a 12-hour nitrate-free interval.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Transdermal NTG patches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are typically prescribed as </w:t>
      </w:r>
      <w:r w:rsidR="00653A5B" w:rsidRPr="007B6788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on in the AM and off in the PM</w:t>
      </w:r>
      <w:r w:rsidR="00653A5B" w:rsidRPr="007B6788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but patients should be given specific application and removal times (</w:t>
      </w:r>
      <w:proofErr w:type="spellStart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, apply at 8:00 AM</w:t>
      </w:r>
    </w:p>
    <w:p w:rsidR="00653A5B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and remove at 8:00 PM).</w:t>
      </w:r>
    </w:p>
    <w:p w:rsidR="00345835" w:rsidRPr="00B418A6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956828" w:rsidRDefault="007B678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Nitrates should not be used routinely as monotherapy for stable IHD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because of the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lack of angina coverage during the nitrate-free interval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and potential for reflex tachycardia. </w:t>
      </w:r>
    </w:p>
    <w:p w:rsidR="00653A5B" w:rsidRPr="007B6788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7B6788">
        <w:rPr>
          <w:rFonts w:asciiTheme="majorBidi" w:hAnsiTheme="majorBidi" w:cstheme="majorBidi"/>
          <w:color w:val="333333"/>
          <w:sz w:val="28"/>
          <w:szCs w:val="28"/>
        </w:rPr>
        <w:t>0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Concomitant β-blocker or diltiazem therapy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can prevent rebound ischemia during the nitrate-free interval.</w:t>
      </w:r>
    </w:p>
    <w:p w:rsidR="00956828" w:rsidRPr="007B6788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56828" w:rsidRPr="007B6788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 nitrate side effects include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headache, flushing, nausea, postural hypotension, and syncope.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Headache can be treated with</w:t>
      </w:r>
      <w:r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acetaminophen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and usually resolves after about 2 weeks of continued therapy. </w:t>
      </w:r>
    </w:p>
    <w:p w:rsidR="00956828" w:rsidRPr="007B678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7B6788">
        <w:rPr>
          <w:rFonts w:asciiTheme="majorBidi" w:hAnsiTheme="majorBidi" w:cstheme="majorBidi"/>
          <w:color w:val="333333"/>
          <w:sz w:val="28"/>
          <w:szCs w:val="28"/>
        </w:rPr>
        <w:t>2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Transdermal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NTG may cause skin erythema and inflammation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Initiating therapy with smaller doses and/or rotating the application site can minimize transdermal nitroglycerin side effects.</w:t>
      </w:r>
    </w:p>
    <w:p w:rsidR="00653A5B" w:rsidRPr="00B418A6" w:rsidRDefault="00653A5B" w:rsidP="00B418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345835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spellStart"/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t>Ranolazine</w:t>
      </w:r>
      <w:proofErr w:type="spellEnd"/>
    </w:p>
    <w:p w:rsidR="000B478D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Ranolazine reduces ischemic episodes by selective inhibition of late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sodium current (</w:t>
      </w:r>
      <w:proofErr w:type="spellStart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INa</w:t>
      </w:r>
      <w:proofErr w:type="spellEnd"/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which reduces intracellular sodium concentration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improves myocardial function and perfusion.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B478D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It does not impact HR, BP, the inotropic state, or increase coronary blood flow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Ranolazine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is effective as monotherapy for relief of angina symptoms but should only be used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if patients cannot tolerate traditional agents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due to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hemodynamic or other adverse effects.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7712FF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Because it does not substantially affect HR and BP, it is recommended as add-on therapy to traditional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antianginal agents for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who achieve goal HR and BP and still have exertional angina symptoms, patients who cannot achieve these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hemodynamic goals due to adverse effects, and patients who reach maximum doses of traditional agents but still have angina symptoms.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It can be combined with a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when initial treatment with β-blockers alone is unsuccessful.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5-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Adverse effects include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constipation, nausea, dizziness, and headache.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Ranolazine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can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prolong the </w:t>
      </w:r>
      <w:proofErr w:type="spellStart"/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QTc</w:t>
      </w:r>
      <w:proofErr w:type="spellEnd"/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interval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should be used with caution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in patients receiving concomitant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QTc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-prolonging agents.</w:t>
      </w:r>
    </w:p>
    <w:p w:rsidR="000B478D" w:rsidRPr="00B418A6" w:rsidRDefault="000B478D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B478D" w:rsidRDefault="00B418A6" w:rsidP="007635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635D6">
        <w:rPr>
          <w:rFonts w:asciiTheme="majorBidi" w:hAnsiTheme="majorBidi" w:cstheme="majorBidi"/>
          <w:color w:val="333333"/>
          <w:sz w:val="28"/>
          <w:szCs w:val="28"/>
        </w:rPr>
        <w:t>6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Potent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inhibitors of CYP3A4 and P-glycoprotein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 or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potent</w:t>
      </w:r>
      <w:r w:rsidR="000B478D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inducers of CYP3A4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P-glycoprotein are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contraindicated with </w:t>
      </w:r>
      <w:proofErr w:type="spellStart"/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ranolazine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due to significant increases and decreases in </w:t>
      </w:r>
      <w:proofErr w:type="spellStart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ranolazine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drug concentrations, respectively.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B418A6" w:rsidP="007635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635D6">
        <w:rPr>
          <w:rFonts w:asciiTheme="majorBidi" w:hAnsiTheme="majorBidi" w:cstheme="majorBidi"/>
          <w:color w:val="333333"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Moderate CYP3A4</w:t>
      </w:r>
      <w:r w:rsidR="000B478D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inhibitors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can be used with </w:t>
      </w:r>
      <w:proofErr w:type="spellStart"/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ranolazine</w:t>
      </w:r>
      <w:proofErr w:type="spellEnd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but the maximum dose should not exceed 500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mg twice daily.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345835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 xml:space="preserve">Treatment of Variable Threshold Angina and </w:t>
      </w:r>
      <w:proofErr w:type="spellStart"/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>Prinzmetal</w:t>
      </w:r>
      <w:proofErr w:type="spellEnd"/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 xml:space="preserve"> Angina</w:t>
      </w:r>
    </w:p>
    <w:p w:rsidR="00653A5B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variable threshold angina require pharmacotherapy for vasospasm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Most patients respond well to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SL NTG for acute attacks.</w:t>
      </w:r>
    </w:p>
    <w:p w:rsidR="00345835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345835" w:rsidRDefault="00345835" w:rsidP="00105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Both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CCBs </w:t>
      </w:r>
      <w:r w:rsidR="00105857">
        <w:rPr>
          <w:rFonts w:asciiTheme="majorBidi" w:hAnsiTheme="majorBidi" w:cstheme="majorBidi"/>
          <w:b/>
          <w:bCs/>
          <w:color w:val="333333"/>
          <w:sz w:val="28"/>
          <w:szCs w:val="28"/>
        </w:rPr>
        <w:t>(</w:t>
      </w:r>
      <w:r w:rsidR="00105857" w:rsidRPr="00653A5B">
        <w:rPr>
          <w:rFonts w:asciiTheme="majorBidi" w:hAnsiTheme="majorBidi" w:cstheme="majorBidi"/>
          <w:color w:val="333333"/>
          <w:sz w:val="28"/>
          <w:szCs w:val="28"/>
        </w:rPr>
        <w:t>Nifedipine, verapamil,</w:t>
      </w:r>
      <w:r w:rsidR="001058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105857" w:rsidRPr="00653A5B">
        <w:rPr>
          <w:rFonts w:asciiTheme="majorBidi" w:hAnsiTheme="majorBidi" w:cstheme="majorBidi"/>
          <w:color w:val="333333"/>
          <w:sz w:val="28"/>
          <w:szCs w:val="28"/>
        </w:rPr>
        <w:t>and diltiazem</w:t>
      </w:r>
      <w:r w:rsidR="0010585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and nitrates are effective for chronic therapy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CCBs may be preferred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because they are dosed less frequently.</w:t>
      </w:r>
      <w:bookmarkStart w:id="0" w:name="_GoBack"/>
      <w:bookmarkEnd w:id="0"/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unresponsive to CCBs alone may have nitrates added.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β-Blockers are not useful for vasospasm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because they may induce coronary vasoconstriction and prolong ischemia.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>Evaluation</w:t>
      </w:r>
      <w:r>
        <w:rPr>
          <w:rFonts w:asciiTheme="majorBidi" w:hAnsiTheme="majorBidi" w:cstheme="majorBidi"/>
          <w:b/>
          <w:bCs/>
          <w:color w:val="3333FF"/>
          <w:sz w:val="32"/>
          <w:szCs w:val="32"/>
        </w:rPr>
        <w:t xml:space="preserve"> </w:t>
      </w:r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>of therapeutic outcomes</w:t>
      </w:r>
    </w:p>
    <w:p w:rsidR="00653A5B" w:rsidRPr="00653A5B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Assess for symptom improvement by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number of angina episodes, weekly SL NTG use, and increased exercise capacity or duration of exertion</w:t>
      </w:r>
      <w:r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needed to induce angina.</w:t>
      </w:r>
    </w:p>
    <w:p w:rsidR="00345835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653A5B" w:rsidRPr="00B418A6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Once patients have been optimized on medical therapy, symptoms should improve over 2</w:t>
      </w:r>
      <w:r w:rsidR="00653A5B" w:rsidRPr="00B418A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4 weeks and remain stable until the disease</w:t>
      </w:r>
      <w:r w:rsidR="00345835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progresses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Patients may require evaluation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every 1</w:t>
      </w:r>
      <w:r w:rsidR="00653A5B" w:rsidRPr="00B418A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2 months until target endpoints are achieved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; follow-up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every 6</w:t>
      </w:r>
      <w:r w:rsidR="00653A5B" w:rsidRPr="00B418A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12 months thereafter is</w:t>
      </w:r>
      <w:r w:rsidR="00345835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appropriate.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345835" w:rsidRPr="00B418A6" w:rsidRDefault="007B678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If the patient is doing well, no other assessment may be necessary. </w:t>
      </w:r>
    </w:p>
    <w:p w:rsid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653A5B" w:rsidRPr="00653A5B" w:rsidRDefault="007B678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for adverse drug effects such as headache and dizziness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with nitrates; fatigue and lassitude with β-blockers; and peripheral edema,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constipation, and dizziness with CCBs.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P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11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2021.</w:t>
      </w:r>
    </w:p>
    <w:sectPr w:rsidR="00B527DA" w:rsidRPr="00B527DA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53" w:rsidRDefault="007A4153" w:rsidP="009C79FE">
      <w:pPr>
        <w:spacing w:after="0" w:line="240" w:lineRule="auto"/>
      </w:pPr>
      <w:r>
        <w:separator/>
      </w:r>
    </w:p>
  </w:endnote>
  <w:endnote w:type="continuationSeparator" w:id="0">
    <w:p w:rsidR="007A4153" w:rsidRDefault="007A4153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yb1zkv-jlt-fc6-2o7hq35lb0r68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7we32e-lp9-fpp-2brnezhr04uq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85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53" w:rsidRDefault="007A4153" w:rsidP="009C79FE">
      <w:pPr>
        <w:spacing w:after="0" w:line="240" w:lineRule="auto"/>
      </w:pPr>
      <w:r>
        <w:separator/>
      </w:r>
    </w:p>
  </w:footnote>
  <w:footnote w:type="continuationSeparator" w:id="0">
    <w:p w:rsidR="007A4153" w:rsidRDefault="007A4153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996"/>
    <w:multiLevelType w:val="hybridMultilevel"/>
    <w:tmpl w:val="4D2C21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E7DA1"/>
    <w:multiLevelType w:val="hybridMultilevel"/>
    <w:tmpl w:val="AB0EAF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76D60"/>
    <w:multiLevelType w:val="hybridMultilevel"/>
    <w:tmpl w:val="993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67E68"/>
    <w:rsid w:val="000746CE"/>
    <w:rsid w:val="00085EC1"/>
    <w:rsid w:val="000A39DD"/>
    <w:rsid w:val="000B478D"/>
    <w:rsid w:val="000D6AAF"/>
    <w:rsid w:val="000F5D8E"/>
    <w:rsid w:val="00105857"/>
    <w:rsid w:val="00126BAA"/>
    <w:rsid w:val="001369C1"/>
    <w:rsid w:val="001467B2"/>
    <w:rsid w:val="0018108D"/>
    <w:rsid w:val="001835C9"/>
    <w:rsid w:val="001A0CEA"/>
    <w:rsid w:val="001A4491"/>
    <w:rsid w:val="001C7900"/>
    <w:rsid w:val="001E6AD2"/>
    <w:rsid w:val="001F3F9F"/>
    <w:rsid w:val="00202D23"/>
    <w:rsid w:val="0023109D"/>
    <w:rsid w:val="00240FC2"/>
    <w:rsid w:val="00293D7B"/>
    <w:rsid w:val="002A56DF"/>
    <w:rsid w:val="002B38B8"/>
    <w:rsid w:val="002F42C5"/>
    <w:rsid w:val="00307E17"/>
    <w:rsid w:val="00324617"/>
    <w:rsid w:val="00324E72"/>
    <w:rsid w:val="003303BF"/>
    <w:rsid w:val="003310D9"/>
    <w:rsid w:val="00337A94"/>
    <w:rsid w:val="00345835"/>
    <w:rsid w:val="00347D77"/>
    <w:rsid w:val="00394517"/>
    <w:rsid w:val="003C1E95"/>
    <w:rsid w:val="003D563D"/>
    <w:rsid w:val="003F1330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722A3"/>
    <w:rsid w:val="004752B9"/>
    <w:rsid w:val="0048401C"/>
    <w:rsid w:val="00487060"/>
    <w:rsid w:val="00497B83"/>
    <w:rsid w:val="004A73A6"/>
    <w:rsid w:val="004B2945"/>
    <w:rsid w:val="004B6F1E"/>
    <w:rsid w:val="004E1DCC"/>
    <w:rsid w:val="00516926"/>
    <w:rsid w:val="00517BDE"/>
    <w:rsid w:val="005627C5"/>
    <w:rsid w:val="00583888"/>
    <w:rsid w:val="005C3F80"/>
    <w:rsid w:val="005D1A07"/>
    <w:rsid w:val="005D3E7B"/>
    <w:rsid w:val="0063410E"/>
    <w:rsid w:val="00644C02"/>
    <w:rsid w:val="0065062A"/>
    <w:rsid w:val="00653546"/>
    <w:rsid w:val="00653A5B"/>
    <w:rsid w:val="00655FED"/>
    <w:rsid w:val="00660CED"/>
    <w:rsid w:val="00690A20"/>
    <w:rsid w:val="006A26C3"/>
    <w:rsid w:val="006A62B0"/>
    <w:rsid w:val="006D0591"/>
    <w:rsid w:val="00701BAE"/>
    <w:rsid w:val="00702A0C"/>
    <w:rsid w:val="00721505"/>
    <w:rsid w:val="007404A7"/>
    <w:rsid w:val="00741490"/>
    <w:rsid w:val="00747F03"/>
    <w:rsid w:val="00761A5B"/>
    <w:rsid w:val="007621C3"/>
    <w:rsid w:val="007635D6"/>
    <w:rsid w:val="007712FF"/>
    <w:rsid w:val="00773A31"/>
    <w:rsid w:val="007A0A8A"/>
    <w:rsid w:val="007A4153"/>
    <w:rsid w:val="007B6004"/>
    <w:rsid w:val="007B6788"/>
    <w:rsid w:val="007E68A8"/>
    <w:rsid w:val="007F19A1"/>
    <w:rsid w:val="00804049"/>
    <w:rsid w:val="00804825"/>
    <w:rsid w:val="008B4BC1"/>
    <w:rsid w:val="008D2536"/>
    <w:rsid w:val="008D5E15"/>
    <w:rsid w:val="008D7966"/>
    <w:rsid w:val="008E28D7"/>
    <w:rsid w:val="0092290D"/>
    <w:rsid w:val="00926008"/>
    <w:rsid w:val="00956828"/>
    <w:rsid w:val="009608D6"/>
    <w:rsid w:val="00987645"/>
    <w:rsid w:val="009B0D47"/>
    <w:rsid w:val="009B224B"/>
    <w:rsid w:val="009C4D71"/>
    <w:rsid w:val="009C79FE"/>
    <w:rsid w:val="009D31BD"/>
    <w:rsid w:val="009E60CC"/>
    <w:rsid w:val="00A07CCC"/>
    <w:rsid w:val="00A26085"/>
    <w:rsid w:val="00A4401F"/>
    <w:rsid w:val="00A5155A"/>
    <w:rsid w:val="00A532FE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AE5C7D"/>
    <w:rsid w:val="00AF560B"/>
    <w:rsid w:val="00B17CB0"/>
    <w:rsid w:val="00B279A6"/>
    <w:rsid w:val="00B418A6"/>
    <w:rsid w:val="00B503F7"/>
    <w:rsid w:val="00B527DA"/>
    <w:rsid w:val="00B65E48"/>
    <w:rsid w:val="00B75789"/>
    <w:rsid w:val="00B834B0"/>
    <w:rsid w:val="00B94318"/>
    <w:rsid w:val="00BD69C4"/>
    <w:rsid w:val="00BE6797"/>
    <w:rsid w:val="00BF062B"/>
    <w:rsid w:val="00C2374F"/>
    <w:rsid w:val="00C3347D"/>
    <w:rsid w:val="00C33EF6"/>
    <w:rsid w:val="00C35779"/>
    <w:rsid w:val="00C67677"/>
    <w:rsid w:val="00C75F21"/>
    <w:rsid w:val="00C81456"/>
    <w:rsid w:val="00C912D4"/>
    <w:rsid w:val="00CB0602"/>
    <w:rsid w:val="00CD0420"/>
    <w:rsid w:val="00D06001"/>
    <w:rsid w:val="00D06DBA"/>
    <w:rsid w:val="00D16FD5"/>
    <w:rsid w:val="00D35FDB"/>
    <w:rsid w:val="00D4331A"/>
    <w:rsid w:val="00D85713"/>
    <w:rsid w:val="00DA6BB8"/>
    <w:rsid w:val="00DD24DE"/>
    <w:rsid w:val="00DD3B5C"/>
    <w:rsid w:val="00DD3E17"/>
    <w:rsid w:val="00DD4C24"/>
    <w:rsid w:val="00E0566E"/>
    <w:rsid w:val="00E05705"/>
    <w:rsid w:val="00E26382"/>
    <w:rsid w:val="00E31AEB"/>
    <w:rsid w:val="00E407F9"/>
    <w:rsid w:val="00E54473"/>
    <w:rsid w:val="00E67F14"/>
    <w:rsid w:val="00E7219D"/>
    <w:rsid w:val="00E90342"/>
    <w:rsid w:val="00EA27D9"/>
    <w:rsid w:val="00EA3500"/>
    <w:rsid w:val="00EB0B76"/>
    <w:rsid w:val="00EB1305"/>
    <w:rsid w:val="00EF71B5"/>
    <w:rsid w:val="00F00195"/>
    <w:rsid w:val="00F0769C"/>
    <w:rsid w:val="00F27D50"/>
    <w:rsid w:val="00F51847"/>
    <w:rsid w:val="00F6798A"/>
    <w:rsid w:val="00F73EC3"/>
    <w:rsid w:val="00F8579A"/>
    <w:rsid w:val="00FA2811"/>
    <w:rsid w:val="00FC7499"/>
    <w:rsid w:val="00FD09C5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1FA5-C839-41D4-8096-93CAA543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58</cp:revision>
  <dcterms:created xsi:type="dcterms:W3CDTF">2020-05-04T12:27:00Z</dcterms:created>
  <dcterms:modified xsi:type="dcterms:W3CDTF">2023-01-11T05:26:00Z</dcterms:modified>
</cp:coreProperties>
</file>