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E0566E" w:rsidP="004F4A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E0566E" w:rsidP="004F4AB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45125D" w:rsidRDefault="00E0566E" w:rsidP="004F4AB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6A62B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Cardiovascular disorders</w:t>
      </w:r>
    </w:p>
    <w:p w:rsidR="00E0566E" w:rsidRPr="00F8579A" w:rsidRDefault="0077347B" w:rsidP="004F4A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  <w:rtl/>
          <w:lang w:bidi="ar-IQ"/>
        </w:rPr>
      </w:pPr>
      <w:r w:rsidRPr="0077347B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>Heart Failure</w:t>
      </w:r>
    </w:p>
    <w:p w:rsidR="00C67677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Introduction</w:t>
      </w:r>
    </w:p>
    <w:p w:rsidR="002024A7" w:rsidRPr="002024A7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Heart failure (HF) is a progressive syndrome that can result from any changes in cardiac structure or function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that impair the ability of the ventricle</w:t>
      </w:r>
      <w:r w:rsidRPr="002023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to fill with or eject blood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. </w:t>
      </w:r>
    </w:p>
    <w:p w:rsidR="002024A7" w:rsidRPr="00A95BB4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024A7" w:rsidRPr="002024A7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HF may be caused by an abnormality in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systolic function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,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diastolic function, or both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. </w:t>
      </w:r>
    </w:p>
    <w:p w:rsidR="002024A7" w:rsidRPr="00A95BB4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024A7" w:rsidRPr="002024A7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77347B" w:rsidRPr="002024A7">
        <w:rPr>
          <w:rFonts w:asciiTheme="majorBidi" w:hAnsiTheme="majorBidi" w:cstheme="majorBidi"/>
          <w:sz w:val="28"/>
          <w:szCs w:val="28"/>
        </w:rPr>
        <w:t>HF with reduced systolic function (</w:t>
      </w:r>
      <w:proofErr w:type="spellStart"/>
      <w:r w:rsidR="0077347B" w:rsidRPr="002024A7">
        <w:rPr>
          <w:rFonts w:asciiTheme="majorBidi" w:hAnsiTheme="majorBidi" w:cstheme="majorBidi"/>
          <w:sz w:val="28"/>
          <w:szCs w:val="28"/>
        </w:rPr>
        <w:t>ie</w:t>
      </w:r>
      <w:proofErr w:type="spellEnd"/>
      <w:r w:rsidR="0077347B" w:rsidRPr="002024A7">
        <w:rPr>
          <w:rFonts w:asciiTheme="majorBidi" w:hAnsiTheme="majorBidi" w:cstheme="majorBidi"/>
          <w:sz w:val="28"/>
          <w:szCs w:val="28"/>
        </w:rPr>
        <w:t>,</w:t>
      </w:r>
      <w:r w:rsidRPr="002024A7">
        <w:rPr>
          <w:rFonts w:asciiTheme="majorBidi" w:hAnsiTheme="majorBidi" w:cstheme="majorBidi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reduced left ventricular ejection fraction, LVEF) is referred to as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HF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with reduced ejection fraction (</w:t>
      </w:r>
      <w:proofErr w:type="spellStart"/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sz w:val="28"/>
          <w:szCs w:val="28"/>
        </w:rPr>
        <w:t xml:space="preserve">). </w:t>
      </w:r>
    </w:p>
    <w:p w:rsidR="002024A7" w:rsidRPr="00A95BB4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8D5E15" w:rsidRPr="002024A7" w:rsidRDefault="002024A7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77347B" w:rsidRPr="002024A7">
        <w:rPr>
          <w:rFonts w:asciiTheme="majorBidi" w:hAnsiTheme="majorBidi" w:cstheme="majorBidi"/>
          <w:sz w:val="28"/>
          <w:szCs w:val="28"/>
        </w:rPr>
        <w:t>Preserved LV systolic function (</w:t>
      </w:r>
      <w:proofErr w:type="spellStart"/>
      <w:r w:rsidR="0077347B" w:rsidRPr="002024A7">
        <w:rPr>
          <w:rFonts w:asciiTheme="majorBidi" w:hAnsiTheme="majorBidi" w:cstheme="majorBidi"/>
          <w:sz w:val="28"/>
          <w:szCs w:val="28"/>
        </w:rPr>
        <w:t>ie</w:t>
      </w:r>
      <w:proofErr w:type="spellEnd"/>
      <w:r w:rsidR="0077347B" w:rsidRPr="002024A7">
        <w:rPr>
          <w:rFonts w:asciiTheme="majorBidi" w:hAnsiTheme="majorBidi" w:cstheme="majorBidi"/>
          <w:sz w:val="28"/>
          <w:szCs w:val="28"/>
        </w:rPr>
        <w:t>,</w:t>
      </w:r>
      <w:r w:rsidRPr="002024A7">
        <w:rPr>
          <w:rFonts w:asciiTheme="majorBidi" w:hAnsiTheme="majorBidi" w:cstheme="majorBidi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sz w:val="28"/>
          <w:szCs w:val="28"/>
        </w:rPr>
        <w:t xml:space="preserve">normal LVEF) with diastolic dysfunction is termed </w:t>
      </w:r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HF with preserved ejection fraction (</w:t>
      </w:r>
      <w:proofErr w:type="spellStart"/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HFpEF</w:t>
      </w:r>
      <w:proofErr w:type="spellEnd"/>
      <w:r w:rsidR="0077347B" w:rsidRPr="0020234D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2024A7" w:rsidRPr="00A95BB4" w:rsidRDefault="002024A7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53A5B" w:rsidRDefault="000746CE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Pathophysiology </w:t>
      </w:r>
    </w:p>
    <w:p w:rsidR="002024A7" w:rsidRPr="00A95BB4" w:rsidRDefault="002024A7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Causes of systolic dysfunction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(decreased contractility) include reduced muscle mass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myocardial infarction [MI]) </w:t>
      </w:r>
    </w:p>
    <w:p w:rsidR="00CC7855" w:rsidRDefault="00CC7855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77347B" w:rsidRPr="002024A7" w:rsidRDefault="0020234D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Causes of diastolic dysfunction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(restriction in ventricular filling) include increased ventricular stiffness, </w:t>
      </w:r>
      <w:r w:rsidR="00CC7855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ventricular hypertrophy</w:t>
      </w:r>
      <w:r w:rsidR="00CC785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024A7" w:rsidRPr="00A95BB4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20234D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The leading causes of HF are coronary artery disease and hypertension.</w:t>
      </w:r>
    </w:p>
    <w:p w:rsidR="002024A7" w:rsidRPr="00A95BB4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024A7" w:rsidRPr="0020234D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ecreased cardiac output (CO) results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 activation of compensatory responses to maintain circulation: </w:t>
      </w:r>
    </w:p>
    <w:p w:rsidR="0077347B" w:rsidRPr="002024A7" w:rsidRDefault="0077347B" w:rsidP="00CC7855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2024A7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>A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2024A7">
        <w:rPr>
          <w:rFonts w:asciiTheme="majorBidi" w:hAnsiTheme="majorBidi" w:cstheme="majorBidi"/>
          <w:color w:val="333333"/>
          <w:sz w:val="28"/>
          <w:szCs w:val="28"/>
        </w:rPr>
        <w:t xml:space="preserve"> T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ac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h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ycardia and 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increased contractility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through sympathetic nervous system activation, (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>B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CC7855">
        <w:rPr>
          <w:rFonts w:asciiTheme="majorBidi" w:hAnsiTheme="majorBidi" w:cstheme="majorBidi"/>
          <w:color w:val="333333"/>
          <w:sz w:val="28"/>
          <w:szCs w:val="28"/>
        </w:rPr>
        <w:t>I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ncreased</w:t>
      </w:r>
      <w:r w:rsid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preload (through 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sodium and water retention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increases 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stroke volume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, (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>C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vasoconstriction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, and (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>D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ventricular hypertrophy and remodeling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024A7" w:rsidRPr="00A95BB4" w:rsidRDefault="002024A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Although these compensatory mechanisms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initially maintain cardiac 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they are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responsible for the symptoms of HF and contribute to</w:t>
      </w:r>
      <w:r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disease progression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0234D" w:rsidRPr="00A95BB4" w:rsidRDefault="0020234D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C29AB">
        <w:rPr>
          <w:rFonts w:asciiTheme="majorBidi" w:hAnsiTheme="majorBidi" w:cstheme="majorBidi"/>
          <w:color w:val="333333"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Chronic activation of the </w:t>
      </w:r>
      <w:proofErr w:type="spellStart"/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neurohormonal</w:t>
      </w:r>
      <w:proofErr w:type="spellEnd"/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systems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>[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angiotensin II, norepinephrine, aldosterone, natriuretic peptides, arginine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vasopressin (AVP)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]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results in a cascade of events that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affect the myocardium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0234D" w:rsidRPr="00A95BB4" w:rsidRDefault="0020234D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34D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These events lead to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changes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ventricular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size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(left ventricular hypertrophy),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shape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structure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known as 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ventricular remodeling.</w:t>
      </w:r>
    </w:p>
    <w:p w:rsidR="0020234D" w:rsidRPr="00A95BB4" w:rsidRDefault="0020234D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20234D" w:rsidRDefault="00CC7855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8</w:t>
      </w:r>
      <w:r w:rsid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 precipitating factors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that may cause a previously compensated HF patient to decompensate include myocardial ischemia and MI,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pulmonary infections, nonadherence with diet or drug therapy, and inappropriate medication use. </w:t>
      </w:r>
    </w:p>
    <w:p w:rsidR="0020234D" w:rsidRPr="00A95BB4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B418A6" w:rsidRPr="002024A7" w:rsidRDefault="00CC7855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Dr</w:t>
      </w:r>
      <w:r w:rsidR="0077347B" w:rsidRPr="0020234D">
        <w:rPr>
          <w:rFonts w:asciiTheme="majorBidi" w:hAnsiTheme="majorBidi" w:cstheme="majorBidi"/>
          <w:b/>
          <w:bCs/>
          <w:color w:val="333333"/>
          <w:sz w:val="28"/>
          <w:szCs w:val="28"/>
        </w:rPr>
        <w:t>ugs may precipitate or exacerbate HF</w:t>
      </w:r>
      <w:r w:rsidR="0020234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through negative inotropic effects, direct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cardiotoxicity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or increased sodium and water retention.</w:t>
      </w:r>
    </w:p>
    <w:p w:rsidR="002024A7" w:rsidRPr="00A95BB4" w:rsidRDefault="002024A7" w:rsidP="00B418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CC7855" w:rsidRDefault="00CC7855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C7855" w:rsidRDefault="00CC7855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5125D" w:rsidRDefault="000746CE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Clinical  presentation</w:t>
      </w:r>
    </w:p>
    <w:p w:rsidR="0020234D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Patient presentation may range from asymptomatic to cardiogenic shock.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Primary symptoms are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dyspnea (especially on exertion) and fatigue, which lead to exercise intolerance. </w:t>
      </w:r>
    </w:p>
    <w:p w:rsidR="0020234D" w:rsidRPr="00A95BB4" w:rsidRDefault="0020234D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20234D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Other pulmonary symptoms include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orthopnea, paroxysmal nocturnal dyspnea (PND), tachypnea, and cough.</w:t>
      </w:r>
      <w:r w:rsidR="00337C8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Fluid overload can result in pulmonary congestion and peripheral edema.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Nonspecific symptoms may include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fatigue, nocturia, hemoptysis, abdominal pain, anorexia, nausea, bloating, ascites, poor appetite or early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satiety, and weight gain or loss.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45125D" w:rsidRDefault="000746CE" w:rsidP="002023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77347B" w:rsidRPr="002024A7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 complete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history and physical examination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appropriate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laboratory testing are essential in evaluating patients with suspected HF.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37C8F" w:rsidRDefault="00337C8F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Laboratory tests for identifying disorders that may cause or worsen HF include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renal, hepatic, thyroid function tests, and iron studies; lipid profile; and A1C. </w:t>
      </w:r>
    </w:p>
    <w:p w:rsidR="00B129D3" w:rsidRPr="00A95BB4" w:rsidRDefault="00B129D3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37C8F" w:rsidRDefault="00337C8F" w:rsidP="0013584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Serum creatinine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may be increased due to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hypoperfusion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; preexisting renal dysfunction can contribute to volume overload. B-type natriuretic peptide (BNP) and NT-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proBNP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are increased.</w:t>
      </w:r>
    </w:p>
    <w:p w:rsidR="00337C8F" w:rsidRPr="00A95BB4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Ventricular hypertrophy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can be demonstrated on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chest radiograph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electrocardiogram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ECG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). Chest radiograph may also show pleural effusions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or pulmonary edema.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337C8F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Echocardiogram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can quantify LVEF to determine if systolic or diastolic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dysfunction is present.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37C8F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 New York Heart Association Functional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Classification System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intended primarily to classify symptoms according to the physician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’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subjective evaluation. </w:t>
      </w:r>
    </w:p>
    <w:p w:rsidR="00337C8F" w:rsidRPr="00A95BB4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37C8F" w:rsidRPr="00337C8F" w:rsidRDefault="0077347B" w:rsidP="00337C8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Functional class (FC)-I</w:t>
      </w:r>
      <w:r w:rsidRPr="00337C8F">
        <w:rPr>
          <w:rFonts w:asciiTheme="majorBidi" w:hAnsiTheme="majorBidi" w:cstheme="majorBidi"/>
          <w:color w:val="333333"/>
          <w:sz w:val="28"/>
          <w:szCs w:val="28"/>
        </w:rPr>
        <w:t xml:space="preserve"> patients have no limitation of physical activity</w:t>
      </w:r>
      <w:r w:rsidR="00337C8F" w:rsidRPr="00337C8F">
        <w:rPr>
          <w:rFonts w:asciiTheme="majorBidi" w:hAnsiTheme="majorBidi" w:cstheme="majorBidi"/>
          <w:color w:val="333333"/>
          <w:sz w:val="28"/>
          <w:szCs w:val="28"/>
        </w:rPr>
        <w:t>.</w:t>
      </w:r>
      <w:r w:rsidRPr="00337C8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337C8F" w:rsidRDefault="0077347B" w:rsidP="00337C8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FC-II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patients have slight limitation</w:t>
      </w:r>
      <w:r w:rsidR="00337C8F">
        <w:rPr>
          <w:rFonts w:asciiTheme="majorBidi" w:hAnsiTheme="majorBidi" w:cstheme="majorBidi"/>
          <w:color w:val="333333"/>
          <w:sz w:val="28"/>
          <w:szCs w:val="28"/>
        </w:rPr>
        <w:t>.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337C8F" w:rsidRDefault="0077347B" w:rsidP="00337C8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FC-III</w:t>
      </w:r>
      <w:r w:rsidRPr="00337C8F">
        <w:rPr>
          <w:rFonts w:asciiTheme="majorBidi" w:hAnsiTheme="majorBidi" w:cstheme="majorBidi"/>
          <w:color w:val="333333"/>
          <w:sz w:val="28"/>
          <w:szCs w:val="28"/>
        </w:rPr>
        <w:t xml:space="preserve"> patients have</w:t>
      </w:r>
      <w:r w:rsidR="00337C8F" w:rsidRPr="00337C8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37C8F">
        <w:rPr>
          <w:rFonts w:asciiTheme="majorBidi" w:hAnsiTheme="majorBidi" w:cstheme="majorBidi"/>
          <w:color w:val="333333"/>
          <w:sz w:val="28"/>
          <w:szCs w:val="28"/>
        </w:rPr>
        <w:t>marked limitation</w:t>
      </w:r>
    </w:p>
    <w:p w:rsidR="0077347B" w:rsidRDefault="0077347B" w:rsidP="00337C8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FC-IV</w:t>
      </w:r>
      <w:r w:rsidRPr="00337C8F">
        <w:rPr>
          <w:rFonts w:asciiTheme="majorBidi" w:hAnsiTheme="majorBidi" w:cstheme="majorBidi"/>
          <w:color w:val="333333"/>
          <w:sz w:val="28"/>
          <w:szCs w:val="28"/>
        </w:rPr>
        <w:t xml:space="preserve"> patients are unable to carry on physical activity without discomfort.</w:t>
      </w:r>
    </w:p>
    <w:p w:rsidR="00337C8F" w:rsidRPr="00A95BB4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53A5B" w:rsidRPr="00653A5B" w:rsidRDefault="00337C8F" w:rsidP="003F0C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 American College of Cardiology/American Heart Association (ACC/AHA) staging system provides </w:t>
      </w:r>
      <w:r>
        <w:rPr>
          <w:rFonts w:asciiTheme="majorBidi" w:hAnsiTheme="majorBidi" w:cstheme="majorBidi"/>
          <w:color w:val="333333"/>
          <w:sz w:val="28"/>
          <w:szCs w:val="28"/>
        </w:rPr>
        <w:t>(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Stages A, B, C, and 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 more comprehensive framework for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F0C5C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evaluating, preventing, and treating HF).</w:t>
      </w:r>
    </w:p>
    <w:p w:rsidR="000746CE" w:rsidRPr="00A95BB4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53A5B" w:rsidRDefault="00405882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  <w:r w:rsidR="0077347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77347B" w:rsidRPr="0077347B">
        <w:rPr>
          <w:rFonts w:asciiTheme="majorBidi" w:hAnsiTheme="majorBidi" w:cstheme="majorBidi"/>
          <w:b/>
          <w:bCs/>
          <w:color w:val="FF0000"/>
          <w:sz w:val="32"/>
          <w:szCs w:val="32"/>
        </w:rPr>
        <w:t>of chronic heart failure</w:t>
      </w:r>
    </w:p>
    <w:p w:rsidR="0077347B" w:rsidRPr="002024A7" w:rsidRDefault="0077347B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2024A7">
        <w:rPr>
          <w:rFonts w:asciiTheme="majorBidi" w:hAnsiTheme="majorBidi" w:cstheme="majorBidi"/>
          <w:color w:val="333333"/>
          <w:sz w:val="28"/>
          <w:szCs w:val="28"/>
        </w:rPr>
        <w:t>Goals of Treatment: Improve quality of life, relieve or reduce symptoms, prevent or minimize hospitalizations, slow disease progression, and</w:t>
      </w:r>
      <w:r w:rsidR="00337C8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prolong survival.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337C8F" w:rsidRDefault="0077347B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337C8F">
        <w:rPr>
          <w:rFonts w:asciiTheme="majorBidi" w:hAnsiTheme="majorBidi" w:cstheme="majorBidi"/>
          <w:b/>
          <w:bCs/>
          <w:color w:val="0000FF"/>
          <w:sz w:val="32"/>
          <w:szCs w:val="32"/>
        </w:rPr>
        <w:t>General Approach</w:t>
      </w:r>
    </w:p>
    <w:p w:rsidR="0077347B" w:rsidRPr="002024A7" w:rsidRDefault="0077347B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 first step is to 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determine the etiology or precipitating factors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. Treatment of underlying disorders (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>, hyperthyroidism) may obviate the need</w:t>
      </w:r>
      <w:r w:rsidR="00337C8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for treating HF.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B129D3" w:rsidRDefault="00B129D3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337C8F" w:rsidRPr="00D83F5A" w:rsidRDefault="0077347B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83F5A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 xml:space="preserve">ACC/AHA Stage A: </w:t>
      </w:r>
    </w:p>
    <w:p w:rsidR="00337C8F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These are patients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at high risk for developing HF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Identify and modify risk factors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prevent development of structural heart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disease and subsequent HF. </w:t>
      </w:r>
    </w:p>
    <w:p w:rsidR="00337C8F" w:rsidRPr="00A95BB4" w:rsidRDefault="00337C8F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4F4ABF" w:rsidRDefault="00B129D3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337C8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Although</w:t>
      </w:r>
      <w:r w:rsidR="00337C8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treatment must be individualized,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inhibitors or ARBs are recommended for</w:t>
      </w:r>
      <w:r w:rsidR="00337C8F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HF prevention in patients with multiple vascular risk factors.</w:t>
      </w:r>
    </w:p>
    <w:p w:rsidR="00337C8F" w:rsidRPr="004F4ABF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D83F5A" w:rsidRDefault="0077347B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83F5A">
        <w:rPr>
          <w:rFonts w:asciiTheme="majorBidi" w:hAnsiTheme="majorBidi" w:cstheme="majorBidi"/>
          <w:b/>
          <w:bCs/>
          <w:color w:val="FF0000"/>
          <w:sz w:val="32"/>
          <w:szCs w:val="32"/>
        </w:rPr>
        <w:t>ACC/AHA Stage B: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D83F5A" w:rsidRDefault="00D83F5A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These patients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have structural heart disease but no HF signs or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CC7855" w:rsidRPr="00A95BB4" w:rsidRDefault="00CC7855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4F4ABF" w:rsidRDefault="00D83F5A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129D3">
        <w:rPr>
          <w:rFonts w:asciiTheme="majorBidi" w:hAnsiTheme="majorBidi" w:cstheme="majorBidi"/>
          <w:color w:val="333333"/>
          <w:sz w:val="28"/>
          <w:szCs w:val="28"/>
        </w:rPr>
        <w:t>P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atients with reduced LVEF (&lt;40%)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should receive an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 (or ARB) and β-blocker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prevent development of HF.</w:t>
      </w:r>
      <w:r w:rsidR="00B129D3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Patients with a previous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MI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should also receive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 statin.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D83F5A" w:rsidRDefault="0077347B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83F5A">
        <w:rPr>
          <w:rFonts w:asciiTheme="majorBidi" w:hAnsiTheme="majorBidi" w:cstheme="majorBidi"/>
          <w:b/>
          <w:bCs/>
          <w:color w:val="FF0000"/>
          <w:sz w:val="32"/>
          <w:szCs w:val="32"/>
        </w:rPr>
        <w:t>ACC/AHA Stage C: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D83F5A" w:rsidRDefault="00D83F5A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These patients have structural heart disease and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previous or current HF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83F5A" w:rsidRPr="00A95BB4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D83F5A" w:rsidRDefault="00D83F5A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B129D3">
        <w:rPr>
          <w:rFonts w:asciiTheme="majorBidi" w:hAnsiTheme="majorBidi" w:cstheme="majorBidi"/>
          <w:color w:val="333333"/>
          <w:sz w:val="28"/>
          <w:szCs w:val="28"/>
        </w:rPr>
        <w:t>P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atients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stage C should receive an ACE inhibitor, ARB, or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angiotensin receptor</w:t>
      </w:r>
      <w:r w:rsidR="0077347B" w:rsidRPr="004F4AB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neprilysin inhibitor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(ARNI; valsartan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sacubitril) together with an β-blocker,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and an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aldosterone antagonist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eligible patients to reduce morbidity and mortality. </w:t>
      </w:r>
    </w:p>
    <w:p w:rsidR="00D83F5A" w:rsidRPr="00A95BB4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4F4ABF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Loop diuretics, hydralazine</w:t>
      </w:r>
      <w:r w:rsidR="0077347B" w:rsidRPr="004F4AB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isosorbide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dinitrate</w:t>
      </w:r>
      <w:proofErr w:type="spellEnd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(ISDN),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digoxin, and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ivabradine</w:t>
      </w:r>
      <w:proofErr w:type="spellEnd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are also used in select patients.</w:t>
      </w:r>
    </w:p>
    <w:p w:rsidR="00337C8F" w:rsidRPr="00A95BB4" w:rsidRDefault="00337C8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D83F5A" w:rsidRDefault="0077347B" w:rsidP="00337C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83F5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ACC/AHA Stage D </w:t>
      </w:r>
      <w:proofErr w:type="spellStart"/>
      <w:r w:rsidRPr="00D83F5A">
        <w:rPr>
          <w:rFonts w:asciiTheme="majorBidi" w:hAnsiTheme="majorBidi" w:cstheme="majorBidi"/>
          <w:b/>
          <w:bCs/>
          <w:color w:val="FF0000"/>
          <w:sz w:val="32"/>
          <w:szCs w:val="32"/>
        </w:rPr>
        <w:t>HFrEF</w:t>
      </w:r>
      <w:proofErr w:type="spellEnd"/>
      <w:r w:rsidRPr="00D83F5A"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D83F5A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These patients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have persistent HF symptoms despite maximally tolerated GDMT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83F5A" w:rsidRPr="00A95BB4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53A5B" w:rsidRPr="002024A7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They should be considered for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specialized interventions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including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mechanical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circulatory support,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continuous IV positive inotropic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therapy, cardiac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transplantation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or hospice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care (when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no additional treatments are appropriate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77347B" w:rsidRPr="00A95BB4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D83F5A" w:rsidRDefault="0077347B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D83F5A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 of Chronic Heart Failure</w:t>
      </w:r>
    </w:p>
    <w:p w:rsidR="0077347B" w:rsidRPr="002024A7" w:rsidRDefault="004F4ABF" w:rsidP="004F4A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Interventions include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restriction of fluid intake and dietary sodium intake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(&lt;2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3 g of sodium/day) with daily weight</w:t>
      </w:r>
      <w:r w:rsidR="00D83F5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measurements.</w:t>
      </w:r>
    </w:p>
    <w:p w:rsidR="00D83F5A" w:rsidRPr="00A95BB4" w:rsidRDefault="00D83F5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4F4ABF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 patients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hyponatremia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persistent volume retention despite high diuretic doses and sodium</w:t>
      </w:r>
      <w:r w:rsidR="00D83F5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restriction,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limit daily fluid intake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2 L/day from all sources.</w:t>
      </w:r>
    </w:p>
    <w:p w:rsidR="00D83F5A" w:rsidRPr="00A95BB4" w:rsidRDefault="00D83F5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4F4ABF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Revascularization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anti-ischemic therapy in patients with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coronary disease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may reduce HF symptoms.</w:t>
      </w:r>
      <w:r w:rsidR="00D83F5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Drugs that can aggravate HF should be discontinued if possible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D83F5A" w:rsidRPr="00A95BB4" w:rsidRDefault="00D83F5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D83F5A" w:rsidRDefault="0077347B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D83F5A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Pharmacologic Therapy for Stage C </w:t>
      </w:r>
      <w:proofErr w:type="spellStart"/>
      <w:r w:rsidRPr="00D83F5A">
        <w:rPr>
          <w:rFonts w:asciiTheme="majorBidi" w:hAnsiTheme="majorBidi" w:cstheme="majorBidi"/>
          <w:b/>
          <w:bCs/>
          <w:color w:val="0000FF"/>
          <w:sz w:val="32"/>
          <w:szCs w:val="32"/>
        </w:rPr>
        <w:t>HFrEF</w:t>
      </w:r>
      <w:proofErr w:type="spellEnd"/>
    </w:p>
    <w:p w:rsidR="00D83F5A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 general, patients with stage C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should receive an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ARB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ARNI along with β-blocker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plus an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aldosterone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antagonist in select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83F5A" w:rsidRPr="00A95BB4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D83F5A" w:rsidP="00D83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Administer a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diuretic if there is evidence of fluid retention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A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hydralazine</w:t>
      </w:r>
      <w:r w:rsidR="0077347B" w:rsidRPr="004F4AB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nitrate combination,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ivabradine</w:t>
      </w:r>
      <w:proofErr w:type="spellEnd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,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or digoxin may be considered in select patients.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B239BF" w:rsidRPr="00A95BB4" w:rsidRDefault="00B239B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B239BF" w:rsidRDefault="004615B2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A-</w:t>
      </w:r>
      <w:r w:rsidR="0077347B" w:rsidRPr="00B239BF">
        <w:rPr>
          <w:rFonts w:asciiTheme="majorBidi" w:hAnsiTheme="majorBidi" w:cstheme="majorBidi"/>
          <w:b/>
          <w:bCs/>
          <w:color w:val="FF0000"/>
          <w:sz w:val="32"/>
          <w:szCs w:val="32"/>
        </w:rPr>
        <w:t>Diuretics</w:t>
      </w:r>
    </w:p>
    <w:p w:rsidR="0077347B" w:rsidRPr="004F4ABF" w:rsidRDefault="00B239BF" w:rsidP="004615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615B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iuretic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therapy (in addition to sodium restriction) is recommended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for all patients with clinical evidence of fluid retention.</w:t>
      </w:r>
    </w:p>
    <w:p w:rsidR="00B239BF" w:rsidRPr="00A95BB4" w:rsidRDefault="00B239BF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However, because they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do not alter disease progression or prolong survival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diuretics are not required for patients without fluid retention.</w:t>
      </w:r>
    </w:p>
    <w:p w:rsidR="0077347B" w:rsidRPr="00A95BB4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B239BF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Thiazide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diuretics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hydrochlorothiazide) are relatively weak and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are infrequently used alone in HF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 However, thiazides or the thiazide-like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diuretic metolazone can be used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in combination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a loop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diuretic to promote very effective diuresis. </w:t>
      </w:r>
    </w:p>
    <w:p w:rsidR="00B239BF" w:rsidRPr="00A95BB4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Thiazides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may be </w:t>
      </w:r>
      <w:r w:rsidR="0077347B" w:rsidRPr="002062E4">
        <w:rPr>
          <w:rFonts w:asciiTheme="majorBidi" w:hAnsiTheme="majorBidi" w:cstheme="majorBidi"/>
          <w:color w:val="333333"/>
          <w:sz w:val="28"/>
          <w:szCs w:val="28"/>
        </w:rPr>
        <w:t>preferred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over loop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diuretics in patients with only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mild fluid retention and elevated BP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because of their more persistent antihypertensive effects.</w:t>
      </w:r>
    </w:p>
    <w:p w:rsidR="00B239BF" w:rsidRPr="00A95BB4" w:rsidRDefault="00B239B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B239BF" w:rsidRDefault="00B239BF" w:rsidP="004F4A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Loop diuretics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(furosemide,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bumetanide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torsemide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are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usually necessary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restore and maintain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euvolemia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HF. </w:t>
      </w:r>
    </w:p>
    <w:p w:rsidR="00B239BF" w:rsidRPr="00A95BB4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Unlike thiazides, loop diuretics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maintain their effectiveness in the presence of impaired renal 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although higher doses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may be necessary.</w:t>
      </w:r>
    </w:p>
    <w:p w:rsidR="00B239BF" w:rsidRPr="00A95BB4" w:rsidRDefault="00B239B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B239BF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Adverse effects of diuretics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include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hypovolemia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hypotension,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hyponatremia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hypokalemia,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hypomagnesemia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hyperuricemia, and renal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dysfunction.</w:t>
      </w:r>
    </w:p>
    <w:p w:rsidR="00B239BF" w:rsidRPr="00A95BB4" w:rsidRDefault="00B239BF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B239BF" w:rsidRDefault="004615B2" w:rsidP="00B239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B-</w:t>
      </w:r>
      <w:r w:rsidR="0077347B" w:rsidRPr="00B239BF">
        <w:rPr>
          <w:rFonts w:asciiTheme="majorBidi" w:hAnsiTheme="majorBidi" w:cstheme="majorBidi"/>
          <w:b/>
          <w:bCs/>
          <w:color w:val="FF0000"/>
          <w:sz w:val="32"/>
          <w:szCs w:val="32"/>
        </w:rPr>
        <w:t>Angiotensin-Converting Enzyme Inhibitors</w:t>
      </w:r>
    </w:p>
    <w:p w:rsid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ACE inhibitors improve symptoms, slow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disease progression,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and decrease mortality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patients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Current guidelines recommend that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all patients with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regardless of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whether or not symptoms are present, s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hould receive an ACE inhibitor to reduce morbidity and mortality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unless there are contraindications.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CC7855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Start therapy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low doses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followed by gradual titration as tolerated to the target or maximally tolerated doses. Dose titration is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usually accomplished by doubling the dose every 2 weeks.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CC7855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Evaluate blood pressure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(BP), renal function, and serum potassium at baseline and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within 1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2 weeks after the start of therapy and after each dose increase.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CC7855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Although symptoms may improve within a few days of starting therapy,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it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may take weeks to months before the full benefits are apparent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CC7855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The most common adverse effects include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hypotension, renal dysfunction, and hyperkalemia. A dry, nonproductive cough (occurring in 15%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20%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of patients) is the most common reason for discontinuation.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CC7855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Because cough is a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bradykinin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-mediated effect, replacement with an ARB is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reasonable; however, caution is required because crossreactivity has been reported.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CC7855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Angioedema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occurs in approximately 1% of patients and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is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potentially life threatening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; ACE inhibitors are contraindicated in patients with a history of angioedema.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CC7855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ACE inhibitors are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contraindicated in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pregnancy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due to various congenital defects.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C-</w:t>
      </w:r>
      <w:r w:rsidR="0077347B" w:rsidRPr="00A81322">
        <w:rPr>
          <w:rFonts w:asciiTheme="majorBidi" w:hAnsiTheme="majorBidi" w:cstheme="majorBidi"/>
          <w:b/>
          <w:bCs/>
          <w:color w:val="FF0000"/>
          <w:sz w:val="32"/>
          <w:szCs w:val="32"/>
        </w:rPr>
        <w:t>Angiotensin Receptor Blockers</w:t>
      </w:r>
    </w:p>
    <w:p w:rsidR="004615B2" w:rsidRDefault="004615B2" w:rsidP="004615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Because ARBs do not affect 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bradykinin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are not associated with cough and have a lower risk of angioedema than ACE inhibitors.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ARBs are now recommended 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as an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alternative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patients who are unable to tolerate an ACE inhibitor due to cough or angioedema.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Although numerous ARBs are available,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only candesartan, valsartan, and losartan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are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recommended in the guidelines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because efficacy has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been demonstrated in clinical trials.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4615B2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As with ACE inhibitors, initiate therapy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low doses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then titrate to target doses.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Evaluate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BP, renal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function, and serum potassium within 1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2 weeks after starting therapy and after dosage increases</w:t>
      </w:r>
      <w:r w:rsidR="00CC785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ARBs are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not suitable alternatives in patients with hypotension, hyperkalemia, or renal insufficiency due to ACE inhibitors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because they are just as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likely to cause these adverse effects.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CC7855" w:rsidP="004615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Caution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should be exercised when ARBs are used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in patients with angioedema from ACE inhibitors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because 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crossreactivity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has been reported. Similar to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ACE inhibitors, ARBs are contraindicated in pregnancy.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A81322" w:rsidRDefault="004615B2" w:rsidP="004F4A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D-</w:t>
      </w:r>
      <w:r w:rsidR="0077347B" w:rsidRPr="00A81322">
        <w:rPr>
          <w:rFonts w:asciiTheme="majorBidi" w:hAnsiTheme="majorBidi" w:cstheme="majorBidi"/>
          <w:b/>
          <w:bCs/>
          <w:color w:val="FF0000"/>
          <w:sz w:val="32"/>
          <w:szCs w:val="32"/>
        </w:rPr>
        <w:t>Angiotensin Receptor</w:t>
      </w:r>
      <w:r w:rsidR="0077347B" w:rsidRPr="00A81322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–</w:t>
      </w:r>
      <w:r w:rsidR="0077347B" w:rsidRPr="00A81322">
        <w:rPr>
          <w:rFonts w:asciiTheme="majorBidi" w:hAnsiTheme="majorBidi" w:cstheme="majorBidi"/>
          <w:b/>
          <w:bCs/>
          <w:color w:val="FF0000"/>
          <w:sz w:val="32"/>
          <w:szCs w:val="32"/>
        </w:rPr>
        <w:t>Neprilysin Inhibitor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(</w:t>
      </w:r>
      <w:r w:rsidRPr="004615B2">
        <w:rPr>
          <w:rFonts w:asciiTheme="majorBidi" w:hAnsiTheme="majorBidi" w:cstheme="majorBidi"/>
          <w:b/>
          <w:bCs/>
          <w:color w:val="FF0000"/>
          <w:sz w:val="32"/>
          <w:szCs w:val="32"/>
        </w:rPr>
        <w:t>ARNI)</w:t>
      </w:r>
    </w:p>
    <w:p w:rsidR="00A81322" w:rsidRPr="004F4ABF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Valsartan/Sacubitril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an ARNI approved to reduce the risk of cardiovascular death and hospitalization for HF in patients with NYHA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class II</w:t>
      </w:r>
      <w:r w:rsidR="0077347B" w:rsidRPr="004F4AB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IV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reduced LVEF.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77347B" w:rsidRPr="002024A7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Neprilysin is an enzyme that degrades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bradykinin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other endogenous vasodilator and natriuretic peptides. By reducing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neprilysin-mediated breakdown of these compounds, vasodilation, diuresis, and natriuresis are enhanced, and renin and aldosterone secretion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is inhibited.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 patients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NYHA class II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III symptoms tolerating an ACE inhibitor or ARB, </w:t>
      </w:r>
      <w:r w:rsidR="0077347B" w:rsidRPr="004615B2">
        <w:rPr>
          <w:rFonts w:asciiTheme="majorBidi" w:hAnsiTheme="majorBidi" w:cstheme="majorBidi"/>
          <w:b/>
          <w:bCs/>
          <w:color w:val="333333"/>
          <w:sz w:val="28"/>
          <w:szCs w:val="28"/>
        </w:rPr>
        <w:t>current guidelines recommend replacing those drugs</w:t>
      </w:r>
      <w:r w:rsidR="00A81322" w:rsidRPr="004615B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615B2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the ARNI to further reduce morbidity and mortality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Discontinue ACE inhibitors 36 hours prior to initiating the ARNI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; no waiting period is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needed in patients receiving an ARB. Titrate the initial starting dose to the target dose after 2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4 weeks.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Closely monitor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BP, serum</w:t>
      </w:r>
      <w:r w:rsidR="00A8132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potassium, and renal function after the start of therapy and after each titration step.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81322" w:rsidRPr="004F4ABF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The most common adverse effects include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hypotension, dizziness, hyperkalemia, worsening renal function, and cough.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Angioedema is most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common with sacubitril/valsartan than with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enalapril</w:t>
      </w:r>
      <w:proofErr w:type="spellEnd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. </w:t>
      </w:r>
    </w:p>
    <w:p w:rsidR="00A81322" w:rsidRPr="00A95BB4" w:rsidRDefault="00A8132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Sacubitril/valsartan is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contraindicated in patients with a history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of angioedema associated with an ACE inhibitor or ARB.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It is also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contraindicated in pregnancy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should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not be used concurrently with ACE</w:t>
      </w:r>
      <w:r w:rsidR="00A81322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inhibitors or other ARBs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81322" w:rsidRPr="00A95BB4" w:rsidRDefault="00A81322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77347B" w:rsidRPr="00A81322" w:rsidRDefault="004615B2" w:rsidP="00A813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E-</w:t>
      </w:r>
      <w:r w:rsidR="0077347B" w:rsidRPr="00A81322">
        <w:rPr>
          <w:rFonts w:asciiTheme="majorBidi" w:hAnsiTheme="majorBidi" w:cstheme="majorBidi"/>
          <w:b/>
          <w:bCs/>
          <w:color w:val="FF0000"/>
          <w:sz w:val="32"/>
          <w:szCs w:val="32"/>
        </w:rPr>
        <w:t>β-Blockers</w:t>
      </w:r>
    </w:p>
    <w:p w:rsidR="0077347B" w:rsidRDefault="004615B2" w:rsidP="004615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β-Blockers antagonize the effects of the sympathetic nervous systems in HF and slow disease progression.</w:t>
      </w:r>
      <w:r w:rsidR="00906EB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β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-blockers reduce HF mortality, </w:t>
      </w:r>
      <w:r w:rsidR="00906EB5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and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hospitalizations</w:t>
      </w:r>
      <w:r w:rsidR="00906EB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06EB5" w:rsidRPr="00A95BB4" w:rsidRDefault="00906EB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06EB5" w:rsidRDefault="004615B2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 ACC/AHA guidelines recommend use of β-blockers in </w:t>
      </w:r>
      <w:r w:rsidR="0077347B" w:rsidRPr="004615B2">
        <w:rPr>
          <w:rFonts w:asciiTheme="majorBidi" w:hAnsiTheme="majorBidi" w:cstheme="majorBidi"/>
          <w:b/>
          <w:bCs/>
          <w:color w:val="333333"/>
          <w:sz w:val="28"/>
          <w:szCs w:val="28"/>
        </w:rPr>
        <w:t>all stable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the absence of contraindications or a clear history of β-blocker intolerance. </w:t>
      </w:r>
    </w:p>
    <w:p w:rsidR="00906EB5" w:rsidRPr="00A95BB4" w:rsidRDefault="00906EB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06EB5" w:rsidRDefault="004615B2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Patients should receive a β-blocker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even if symptoms are mild or well controlled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ACE inhibitor and diuretic therapy. </w:t>
      </w:r>
    </w:p>
    <w:p w:rsidR="00906EB5" w:rsidRPr="00A95BB4" w:rsidRDefault="00906EB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06EB5" w:rsidRDefault="00CC785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Carvedilol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metoprolol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succinate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(CR/XL), and </w:t>
      </w:r>
      <w:proofErr w:type="spellStart"/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bisoprolol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are the only β-blockers shown to reduce mortality in large HF trials. </w:t>
      </w:r>
    </w:p>
    <w:p w:rsidR="00906EB5" w:rsidRPr="00A95BB4" w:rsidRDefault="00906EB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4615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Initiate β-blockers in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stable patients who have no or minimal evidence of fluid overload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7347B" w:rsidRPr="004F4ABF">
        <w:rPr>
          <w:rFonts w:asciiTheme="majorBidi" w:hAnsiTheme="majorBidi" w:cstheme="majorBidi"/>
          <w:b/>
          <w:bCs/>
          <w:color w:val="333333"/>
          <w:sz w:val="28"/>
          <w:szCs w:val="28"/>
        </w:rPr>
        <w:t>Because of their negative inotropic effects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start β-blockers in very low doses with slow upward dose titration to avoid symptomatic worsening or acute decompensation. Doses should be doubled</w:t>
      </w:r>
      <w:r w:rsidR="00906EB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no more often than every 2 weeks, as tolerated, until the target or maximally tolerated dose is reached.</w:t>
      </w:r>
    </w:p>
    <w:p w:rsidR="00906EB5" w:rsidRPr="00A95BB4" w:rsidRDefault="00906EB5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A020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Inform patients that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HF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may actually worsen</w:t>
      </w:r>
      <w:r w:rsidR="00906EB5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during the initiation period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06EB5" w:rsidRPr="00A95BB4" w:rsidRDefault="00906EB5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06EB5" w:rsidRDefault="00CC785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Adverse effects include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heart block, hypotension, fatigue, impaired glycemic control in diabetic patients, bronchospasm in</w:t>
      </w:r>
      <w:r w:rsidR="00906EB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patients with asthma, and worsening HF. </w:t>
      </w:r>
    </w:p>
    <w:p w:rsidR="00906EB5" w:rsidRPr="00A95BB4" w:rsidRDefault="00906EB5" w:rsidP="00906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CC7855" w:rsidP="004615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Absolute contraindications include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uncontrolled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bronchospastic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disease, symptomatic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906EB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advanced heart block without a pacemaker, and acute decompensated HF.</w:t>
      </w:r>
      <w:r w:rsidR="004615B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However, β-blockers may be tried with caution in patients with</w:t>
      </w:r>
      <w:r w:rsidR="00906EB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asymptomatic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COPD, or well-controlled asthma.</w:t>
      </w:r>
    </w:p>
    <w:p w:rsidR="00A95BB4" w:rsidRPr="00A95BB4" w:rsidRDefault="00A95BB4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77347B" w:rsidRPr="00A81322" w:rsidRDefault="004615B2" w:rsidP="00A95B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F-</w:t>
      </w:r>
      <w:r w:rsidR="0077347B" w:rsidRPr="00A81322">
        <w:rPr>
          <w:rFonts w:asciiTheme="majorBidi" w:hAnsiTheme="majorBidi" w:cstheme="majorBidi"/>
          <w:b/>
          <w:bCs/>
          <w:color w:val="FF0000"/>
          <w:sz w:val="32"/>
          <w:szCs w:val="32"/>
        </w:rPr>
        <w:t>Aldosterone Antagonists</w:t>
      </w:r>
    </w:p>
    <w:p w:rsidR="0077347B" w:rsidRDefault="00873508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Spironolactone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eplerenone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block mineralocorticoid receptors, the target for aldosterone. </w:t>
      </w:r>
    </w:p>
    <w:p w:rsidR="00873508" w:rsidRPr="004765EA" w:rsidRDefault="00BE0408" w:rsidP="00BE0408">
      <w:pPr>
        <w:tabs>
          <w:tab w:val="left" w:pos="1891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333333"/>
          <w:sz w:val="16"/>
          <w:szCs w:val="16"/>
        </w:rPr>
        <w:tab/>
      </w:r>
    </w:p>
    <w:p w:rsid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Current guidelines recommend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adding a low-dose aldosterone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antagonist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standard therapy to improve symptoms, reduce the risk of HF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hospitalization, and i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ncrease survival in select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provided that serum potassium and renal function can be carefully monitored. </w:t>
      </w:r>
    </w:p>
    <w:p w:rsidR="00873508" w:rsidRPr="00A95BB4" w:rsidRDefault="00873508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873508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L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ow-dose aldosterone antagonists may be appropriate for: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77347B" w:rsidRPr="002024A7" w:rsidRDefault="0077347B" w:rsidP="00EE47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2024A7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EE4701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patients with mild to moderately severe </w:t>
      </w:r>
      <w:proofErr w:type="spellStart"/>
      <w:r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(NYHA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class II</w:t>
      </w:r>
      <w:r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IV) who are receiving standard therapy, and (</w:t>
      </w:r>
      <w:r w:rsidR="00EE4701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B</w:t>
      </w:r>
      <w:r w:rsidRPr="002024A7">
        <w:rPr>
          <w:rFonts w:asciiTheme="majorBidi" w:hAnsiTheme="majorBidi" w:cstheme="majorBidi"/>
          <w:color w:val="333333"/>
          <w:sz w:val="28"/>
          <w:szCs w:val="28"/>
        </w:rPr>
        <w:t>) those with LV dysfunction and either acute HF or diabetes early after MI.</w:t>
      </w:r>
    </w:p>
    <w:p w:rsidR="00873508" w:rsidRPr="00A95BB4" w:rsidRDefault="00873508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Start with low doses.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Avoid aldosterone antagonists in patients with renal impairment, elevated serum potassium, or history of severe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hyperkalemia. </w:t>
      </w:r>
    </w:p>
    <w:p w:rsidR="00873508" w:rsidRPr="00A95BB4" w:rsidRDefault="00873508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Spironolactone also interacts with androgen and progesterone receptors, which may lead to </w:t>
      </w:r>
      <w:proofErr w:type="spellStart"/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gynecomastia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impotence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and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menstrual irregularities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some patients.</w:t>
      </w:r>
    </w:p>
    <w:p w:rsidR="00873508" w:rsidRPr="006C29AB" w:rsidRDefault="00873508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77347B" w:rsidRPr="00A81322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G-</w:t>
      </w:r>
      <w:r w:rsidR="0077347B" w:rsidRPr="00A81322">
        <w:rPr>
          <w:rFonts w:asciiTheme="majorBidi" w:hAnsiTheme="majorBidi" w:cstheme="majorBidi"/>
          <w:b/>
          <w:bCs/>
          <w:color w:val="FF0000"/>
          <w:sz w:val="32"/>
          <w:szCs w:val="32"/>
        </w:rPr>
        <w:t>Nitrates and Hydralazine</w:t>
      </w:r>
    </w:p>
    <w:p w:rsid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Isosorbide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dinitrate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ISDN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is a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venodilator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that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reduces preload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whereas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hydralazine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 direct arterial vasodilator that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reduces systemic</w:t>
      </w:r>
      <w:r w:rsidR="00873508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vascular resistance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(SVR) and increases stroke volume and CO. </w:t>
      </w:r>
    </w:p>
    <w:p w:rsidR="00873508" w:rsidRPr="00A95BB4" w:rsidRDefault="00873508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73508" w:rsidRDefault="00EE4701" w:rsidP="004765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Guidelines recommend </w:t>
      </w:r>
      <w:r w:rsidR="0077347B" w:rsidRPr="00A02055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addition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of hydralazine/ISDN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to </w:t>
      </w:r>
      <w:r w:rsidR="0077347B" w:rsidRPr="00A02055">
        <w:rPr>
          <w:rFonts w:asciiTheme="majorBidi" w:hAnsiTheme="majorBidi" w:cstheme="majorBidi"/>
          <w:b/>
          <w:bCs/>
          <w:color w:val="333333"/>
          <w:sz w:val="28"/>
          <w:szCs w:val="28"/>
        </w:rPr>
        <w:t>African Americans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NYHA class III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IV symptoms treated with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ACE inhibitors (or ARBs) and β-blockers. </w:t>
      </w:r>
    </w:p>
    <w:bookmarkEnd w:id="0"/>
    <w:p w:rsidR="00873508" w:rsidRPr="006C29AB" w:rsidRDefault="00873508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77347B" w:rsidRPr="002024A7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 combination can also be useful in patients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unable to tolerate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either an ACE inhibitor or ARB because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of renal insufficiency, hyperkalemia, or hypotension.</w:t>
      </w:r>
    </w:p>
    <w:p w:rsidR="00873508" w:rsidRPr="00A95BB4" w:rsidRDefault="00873508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H-</w:t>
      </w:r>
      <w:r w:rsidR="0077347B" w:rsidRPr="00873508">
        <w:rPr>
          <w:rFonts w:asciiTheme="majorBidi" w:hAnsiTheme="majorBidi" w:cstheme="majorBidi"/>
          <w:b/>
          <w:bCs/>
          <w:color w:val="FF0000"/>
          <w:sz w:val="32"/>
          <w:szCs w:val="32"/>
        </w:rPr>
        <w:t>Ivabradine</w:t>
      </w:r>
    </w:p>
    <w:p w:rsidR="00EE4701" w:rsidRDefault="00EE4701" w:rsidP="00EE47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Ivabradine inhibits the </w:t>
      </w:r>
      <w:r w:rsidR="0077347B" w:rsidRPr="00EE4701">
        <w:rPr>
          <w:rFonts w:asciiTheme="majorBidi" w:hAnsiTheme="majorBidi" w:cstheme="majorBidi"/>
          <w:b/>
          <w:bCs/>
          <w:color w:val="333333"/>
          <w:sz w:val="28"/>
          <w:szCs w:val="28"/>
        </w:rPr>
        <w:t>If current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the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sinoatrial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node that is responsible for controlling HR, thereby slowing the HR. It does not affect AV conduction, BP, or myocardial contractility. </w:t>
      </w:r>
    </w:p>
    <w:p w:rsidR="00EE4701" w:rsidRPr="00A95BB4" w:rsidRDefault="00EE4701" w:rsidP="00EE47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E4701" w:rsidP="00EE47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Because of the clear benefits of β-blockers on mortality, clinicians should titrate to the maximum tolerated doses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before considering use of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ivabradine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EE4701" w:rsidRPr="00A95BB4" w:rsidRDefault="00EE470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E4701" w:rsidP="00CC78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Ivabradine is indicated to reduce the risk of hospitalization for worsening HF in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LVEF 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≤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35% and are either on a maximally tolerated dose of a β-blocker or have a contraindication to β-blocker use.</w:t>
      </w:r>
    </w:p>
    <w:p w:rsidR="00EE4701" w:rsidRPr="00A95BB4" w:rsidRDefault="00EE470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E470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 most </w:t>
      </w:r>
      <w:r w:rsidR="0077347B" w:rsidRPr="006C29AB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 adverse effects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are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atrial fibrillation, and visual disturbances.</w:t>
      </w:r>
    </w:p>
    <w:p w:rsidR="00873508" w:rsidRPr="00A95BB4" w:rsidRDefault="00873508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I-</w:t>
      </w:r>
      <w:r w:rsidR="0077347B" w:rsidRPr="00873508">
        <w:rPr>
          <w:rFonts w:asciiTheme="majorBidi" w:hAnsiTheme="majorBidi" w:cstheme="majorBidi"/>
          <w:b/>
          <w:bCs/>
          <w:color w:val="FF0000"/>
          <w:sz w:val="32"/>
          <w:szCs w:val="32"/>
        </w:rPr>
        <w:t>Digoxin</w:t>
      </w:r>
    </w:p>
    <w:p w:rsidR="00873508" w:rsidRDefault="00EE4701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Although digoxin has positive inotropic effects, its benefits in HF are related to its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neurohormonal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effects. It attenuates the excessive sympathetic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nervous system activation in HF and increases parasympathetic activity, thereby decreasing HR and enhancing diastolic filling. </w:t>
      </w:r>
    </w:p>
    <w:p w:rsidR="00873508" w:rsidRPr="00A95BB4" w:rsidRDefault="00873508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E4701" w:rsidP="00EE47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S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tudies of digoxin </w:t>
      </w:r>
      <w:r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HF showed either neutral effects or reductions in hospitalizations and either</w:t>
      </w:r>
      <w:r w:rsidR="00873508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neutral or detrimental effects of digoxin on mortality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77347B" w:rsidRPr="00A95BB4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73508" w:rsidRDefault="00EE4701" w:rsidP="00B129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 xml:space="preserve">So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digoxin is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not considered a first-line agent in HF,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but a trial may be considered in conjunction with ACE</w:t>
      </w:r>
      <w:r w:rsidR="008735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inhibitors (or ARBs), β-blockers, and diuretics in patients with symptomatic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to improve symptoms and reduce hospitalizations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873508" w:rsidRPr="00A95BB4" w:rsidRDefault="00873508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A95BB4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Digoxin may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also be considered to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help control ventricular rate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 patients with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supraventricular arrhythmias, although β-blockers are generally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more effective rate control agents, especially during exercise.</w:t>
      </w:r>
    </w:p>
    <w:p w:rsidR="004908F7" w:rsidRPr="00A95BB4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A95BB4" w:rsidRDefault="0077347B" w:rsidP="008735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95BB4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Pharmacologic Therapy for </w:t>
      </w:r>
      <w:proofErr w:type="spellStart"/>
      <w:r w:rsidRPr="00A95BB4">
        <w:rPr>
          <w:rFonts w:asciiTheme="majorBidi" w:hAnsiTheme="majorBidi" w:cstheme="majorBidi"/>
          <w:b/>
          <w:bCs/>
          <w:color w:val="0000FF"/>
          <w:sz w:val="32"/>
          <w:szCs w:val="32"/>
        </w:rPr>
        <w:t>HFpEF</w:t>
      </w:r>
      <w:proofErr w:type="spellEnd"/>
    </w:p>
    <w:p w:rsidR="0077347B" w:rsidRPr="002024A7" w:rsidRDefault="00A95BB4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Many of the drugs are the same as those used to treat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diuretics, β-blockers), but the rationale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and dosing may be different.</w:t>
      </w:r>
    </w:p>
    <w:p w:rsidR="004908F7" w:rsidRPr="00A95BB4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908F7" w:rsidRDefault="00A95BB4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 loop or a thiazide diuretic should be considered for patients with volume overload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 Use a loop diuretic for more severe volume overload or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inadequate response to a thiazide. </w:t>
      </w:r>
    </w:p>
    <w:p w:rsidR="004908F7" w:rsidRPr="00A95BB4" w:rsidRDefault="004908F7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A95B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inhibitors may be considered in all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especially patients with symptomatic atherosclerotic cardiovascular disease or diabetes and one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additional risk factor.</w:t>
      </w:r>
    </w:p>
    <w:p w:rsidR="004908F7" w:rsidRPr="00A95BB4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ARBs may be considered in all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especially those who are intolerant of ACE inhibitors.</w:t>
      </w:r>
    </w:p>
    <w:p w:rsidR="004908F7" w:rsidRPr="00A95BB4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Aldosterone antagonists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can reduce the risk of hospitalization in patients who do not have contraindications and are not at risk for hyperkalemia.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They may be beneficial for patients with elevated BNP or NT-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proBNP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908F7" w:rsidRPr="00A95BB4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6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β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-Blockers should be considered in patients with one or more of the following conditions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: (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 MI, (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 hypertension, and (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="0077347B" w:rsidRPr="004765EA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atrial fibrillation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requiring ventricular rate control.</w:t>
      </w:r>
    </w:p>
    <w:p w:rsidR="004908F7" w:rsidRPr="00A95BB4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908F7" w:rsidRDefault="00CC7855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Nondihydropyridine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calcium channel blockers (CCB;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diltiazem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should be considered for patients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atrial fibrillation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warranting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ventricular rate control who either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are intolerant to or have not responded to a β-blocker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4908F7" w:rsidRPr="00A95BB4" w:rsidRDefault="004908F7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C7855" w:rsidP="004908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A95BB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 </w:t>
      </w:r>
      <w:proofErr w:type="spellStart"/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nondihydropyridine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dihydropyridine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amlodipine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CCB can be considered for </w:t>
      </w:r>
      <w:r w:rsidR="0077347B" w:rsidRPr="004765EA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symptom-limiting angina or hypertension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73508" w:rsidRPr="00A95BB4" w:rsidRDefault="00873508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11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2021.</w:t>
      </w:r>
    </w:p>
    <w:sectPr w:rsidR="00B527DA" w:rsidRPr="00B527DA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EF" w:rsidRDefault="000101EF" w:rsidP="009C79FE">
      <w:pPr>
        <w:spacing w:after="0" w:line="240" w:lineRule="auto"/>
      </w:pPr>
      <w:r>
        <w:separator/>
      </w:r>
    </w:p>
  </w:endnote>
  <w:endnote w:type="continuationSeparator" w:id="0">
    <w:p w:rsidR="000101EF" w:rsidRDefault="000101EF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C8F" w:rsidRDefault="0033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05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337C8F" w:rsidRDefault="00337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EF" w:rsidRDefault="000101EF" w:rsidP="009C79FE">
      <w:pPr>
        <w:spacing w:after="0" w:line="240" w:lineRule="auto"/>
      </w:pPr>
      <w:r>
        <w:separator/>
      </w:r>
    </w:p>
  </w:footnote>
  <w:footnote w:type="continuationSeparator" w:id="0">
    <w:p w:rsidR="000101EF" w:rsidRDefault="000101EF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996"/>
    <w:multiLevelType w:val="hybridMultilevel"/>
    <w:tmpl w:val="4D2C21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E7DA1"/>
    <w:multiLevelType w:val="hybridMultilevel"/>
    <w:tmpl w:val="AB0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76D60"/>
    <w:multiLevelType w:val="hybridMultilevel"/>
    <w:tmpl w:val="993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82C1B"/>
    <w:multiLevelType w:val="hybridMultilevel"/>
    <w:tmpl w:val="889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101EF"/>
    <w:rsid w:val="00022299"/>
    <w:rsid w:val="00034DF1"/>
    <w:rsid w:val="000746CE"/>
    <w:rsid w:val="00085EC1"/>
    <w:rsid w:val="000A39DD"/>
    <w:rsid w:val="000B478D"/>
    <w:rsid w:val="000D6AAF"/>
    <w:rsid w:val="000E1F73"/>
    <w:rsid w:val="000F5D8E"/>
    <w:rsid w:val="00126BAA"/>
    <w:rsid w:val="00135846"/>
    <w:rsid w:val="001369C1"/>
    <w:rsid w:val="001467B2"/>
    <w:rsid w:val="0018108D"/>
    <w:rsid w:val="001835C9"/>
    <w:rsid w:val="001A0CEA"/>
    <w:rsid w:val="001A4491"/>
    <w:rsid w:val="001B1BDC"/>
    <w:rsid w:val="001C7900"/>
    <w:rsid w:val="001E6AD2"/>
    <w:rsid w:val="001F3F9F"/>
    <w:rsid w:val="0020234D"/>
    <w:rsid w:val="002024A7"/>
    <w:rsid w:val="00202D23"/>
    <w:rsid w:val="002062E4"/>
    <w:rsid w:val="0023109D"/>
    <w:rsid w:val="00240FC2"/>
    <w:rsid w:val="00293D7B"/>
    <w:rsid w:val="002A56DF"/>
    <w:rsid w:val="002D73F6"/>
    <w:rsid w:val="002F42C5"/>
    <w:rsid w:val="00307E17"/>
    <w:rsid w:val="00324617"/>
    <w:rsid w:val="00324E72"/>
    <w:rsid w:val="003303BF"/>
    <w:rsid w:val="003310D9"/>
    <w:rsid w:val="00337A94"/>
    <w:rsid w:val="00337C8F"/>
    <w:rsid w:val="00345835"/>
    <w:rsid w:val="00347D77"/>
    <w:rsid w:val="00394517"/>
    <w:rsid w:val="003C1E95"/>
    <w:rsid w:val="003D563D"/>
    <w:rsid w:val="003F0C5C"/>
    <w:rsid w:val="003F1330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615B2"/>
    <w:rsid w:val="004722A3"/>
    <w:rsid w:val="004752B9"/>
    <w:rsid w:val="004765EA"/>
    <w:rsid w:val="0048401C"/>
    <w:rsid w:val="00487060"/>
    <w:rsid w:val="004908F7"/>
    <w:rsid w:val="004A73A6"/>
    <w:rsid w:val="004B2945"/>
    <w:rsid w:val="004B6F1E"/>
    <w:rsid w:val="004E1DCC"/>
    <w:rsid w:val="004F4ABF"/>
    <w:rsid w:val="00516926"/>
    <w:rsid w:val="005627C5"/>
    <w:rsid w:val="00583888"/>
    <w:rsid w:val="005C3F80"/>
    <w:rsid w:val="005D1A07"/>
    <w:rsid w:val="005D3E7B"/>
    <w:rsid w:val="005F7AC2"/>
    <w:rsid w:val="0063410E"/>
    <w:rsid w:val="0065062A"/>
    <w:rsid w:val="00653546"/>
    <w:rsid w:val="00653A5B"/>
    <w:rsid w:val="00655FED"/>
    <w:rsid w:val="00660CED"/>
    <w:rsid w:val="00690A20"/>
    <w:rsid w:val="006A26C3"/>
    <w:rsid w:val="006A62B0"/>
    <w:rsid w:val="006C29AB"/>
    <w:rsid w:val="006D0591"/>
    <w:rsid w:val="00701BAE"/>
    <w:rsid w:val="00721505"/>
    <w:rsid w:val="007404A7"/>
    <w:rsid w:val="00741490"/>
    <w:rsid w:val="00747F03"/>
    <w:rsid w:val="00761A5B"/>
    <w:rsid w:val="007621C3"/>
    <w:rsid w:val="007712FF"/>
    <w:rsid w:val="0077347B"/>
    <w:rsid w:val="00773A31"/>
    <w:rsid w:val="007A0A8A"/>
    <w:rsid w:val="007B6004"/>
    <w:rsid w:val="007E68A8"/>
    <w:rsid w:val="007F19A1"/>
    <w:rsid w:val="00804049"/>
    <w:rsid w:val="00804825"/>
    <w:rsid w:val="00825933"/>
    <w:rsid w:val="00873508"/>
    <w:rsid w:val="00892EB9"/>
    <w:rsid w:val="008B4BC1"/>
    <w:rsid w:val="008C1766"/>
    <w:rsid w:val="008D2536"/>
    <w:rsid w:val="008D5E15"/>
    <w:rsid w:val="008D7966"/>
    <w:rsid w:val="008E28D7"/>
    <w:rsid w:val="00906EB5"/>
    <w:rsid w:val="00926008"/>
    <w:rsid w:val="00956828"/>
    <w:rsid w:val="009608D6"/>
    <w:rsid w:val="009629AF"/>
    <w:rsid w:val="00971848"/>
    <w:rsid w:val="00987645"/>
    <w:rsid w:val="009B0D47"/>
    <w:rsid w:val="009B224B"/>
    <w:rsid w:val="009C4D71"/>
    <w:rsid w:val="009C79FE"/>
    <w:rsid w:val="009D31BD"/>
    <w:rsid w:val="009E60CC"/>
    <w:rsid w:val="00A02055"/>
    <w:rsid w:val="00A07CCC"/>
    <w:rsid w:val="00A26085"/>
    <w:rsid w:val="00A4359E"/>
    <w:rsid w:val="00A4401F"/>
    <w:rsid w:val="00A5155A"/>
    <w:rsid w:val="00A532FE"/>
    <w:rsid w:val="00A7600B"/>
    <w:rsid w:val="00A8009A"/>
    <w:rsid w:val="00A81322"/>
    <w:rsid w:val="00A83FB6"/>
    <w:rsid w:val="00A95BB4"/>
    <w:rsid w:val="00A966DA"/>
    <w:rsid w:val="00A969AE"/>
    <w:rsid w:val="00AB66BE"/>
    <w:rsid w:val="00AD10F0"/>
    <w:rsid w:val="00AD3BD4"/>
    <w:rsid w:val="00AD761C"/>
    <w:rsid w:val="00AE1E84"/>
    <w:rsid w:val="00AE5C7D"/>
    <w:rsid w:val="00AF1F78"/>
    <w:rsid w:val="00AF560B"/>
    <w:rsid w:val="00B129D3"/>
    <w:rsid w:val="00B17CB0"/>
    <w:rsid w:val="00B239BF"/>
    <w:rsid w:val="00B418A6"/>
    <w:rsid w:val="00B503F7"/>
    <w:rsid w:val="00B527DA"/>
    <w:rsid w:val="00B75789"/>
    <w:rsid w:val="00B834B0"/>
    <w:rsid w:val="00B94318"/>
    <w:rsid w:val="00BD69C4"/>
    <w:rsid w:val="00BE0408"/>
    <w:rsid w:val="00BE6797"/>
    <w:rsid w:val="00BF062B"/>
    <w:rsid w:val="00C2374F"/>
    <w:rsid w:val="00C3347D"/>
    <w:rsid w:val="00C33EF6"/>
    <w:rsid w:val="00C35779"/>
    <w:rsid w:val="00C67677"/>
    <w:rsid w:val="00C75F21"/>
    <w:rsid w:val="00C912D4"/>
    <w:rsid w:val="00CB0602"/>
    <w:rsid w:val="00CC6391"/>
    <w:rsid w:val="00CC7855"/>
    <w:rsid w:val="00CD0420"/>
    <w:rsid w:val="00D06001"/>
    <w:rsid w:val="00D06DBA"/>
    <w:rsid w:val="00D10825"/>
    <w:rsid w:val="00D16FD5"/>
    <w:rsid w:val="00D35FDB"/>
    <w:rsid w:val="00D4331A"/>
    <w:rsid w:val="00D83F5A"/>
    <w:rsid w:val="00D85713"/>
    <w:rsid w:val="00DA6BB8"/>
    <w:rsid w:val="00DD24DE"/>
    <w:rsid w:val="00DD3B5C"/>
    <w:rsid w:val="00DD3E17"/>
    <w:rsid w:val="00DD4C24"/>
    <w:rsid w:val="00E0566E"/>
    <w:rsid w:val="00E05705"/>
    <w:rsid w:val="00E26382"/>
    <w:rsid w:val="00E407F9"/>
    <w:rsid w:val="00E67F14"/>
    <w:rsid w:val="00E7219D"/>
    <w:rsid w:val="00E90342"/>
    <w:rsid w:val="00EA27D9"/>
    <w:rsid w:val="00EA3500"/>
    <w:rsid w:val="00EB0B76"/>
    <w:rsid w:val="00EB1305"/>
    <w:rsid w:val="00EE4701"/>
    <w:rsid w:val="00EF71B5"/>
    <w:rsid w:val="00F00195"/>
    <w:rsid w:val="00F0769C"/>
    <w:rsid w:val="00F27D50"/>
    <w:rsid w:val="00F51847"/>
    <w:rsid w:val="00F6798A"/>
    <w:rsid w:val="00F73EC3"/>
    <w:rsid w:val="00F8579A"/>
    <w:rsid w:val="00FA2811"/>
    <w:rsid w:val="00FC7499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7531-B6A6-4568-A442-672F1CDD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71</cp:revision>
  <dcterms:created xsi:type="dcterms:W3CDTF">2020-05-04T12:27:00Z</dcterms:created>
  <dcterms:modified xsi:type="dcterms:W3CDTF">2023-01-07T19:08:00Z</dcterms:modified>
</cp:coreProperties>
</file>