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9CEB" w14:textId="3A500B60" w:rsidR="00A3422F" w:rsidRDefault="009345A9" w:rsidP="00CB778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Pharmacy Practice: Lecture </w:t>
      </w:r>
      <w:r w:rsidR="007A045D">
        <w:rPr>
          <w:rFonts w:asciiTheme="majorBidi" w:hAnsiTheme="majorBidi" w:cstheme="majorBidi"/>
          <w:b/>
          <w:bCs/>
          <w:sz w:val="28"/>
          <w:szCs w:val="28"/>
        </w:rPr>
        <w:t>9</w:t>
      </w:r>
      <w:r w:rsidR="00B72695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497F3077" w14:textId="77777777" w:rsidR="00B72695" w:rsidRPr="00A3422F" w:rsidRDefault="00B72695" w:rsidP="00B7269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0F0AF80" w14:textId="7BC2CC63" w:rsidR="009419A5" w:rsidRPr="00374603" w:rsidRDefault="00CB7781" w:rsidP="007A045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CB7781">
        <w:rPr>
          <w:rFonts w:asciiTheme="majorBidi" w:hAnsiTheme="majorBidi" w:cstheme="majorBidi"/>
          <w:b/>
          <w:bCs/>
          <w:color w:val="0070C0"/>
          <w:sz w:val="36"/>
          <w:szCs w:val="36"/>
        </w:rPr>
        <w:t>Dosing of Drugs in Renal Failure</w:t>
      </w:r>
      <w:r w:rsidR="00A6410C" w:rsidRPr="00A6410C">
        <w:rPr>
          <w:rFonts w:ascii="Helvetica" w:hAnsi="Helvetica"/>
          <w:color w:val="71777D"/>
          <w:sz w:val="21"/>
          <w:szCs w:val="21"/>
          <w:shd w:val="clear" w:color="auto" w:fill="FFFFFF"/>
        </w:rPr>
        <w:t xml:space="preserve"> </w:t>
      </w:r>
      <w:r w:rsidR="007A045D" w:rsidRPr="007A045D">
        <w:rPr>
          <w:rFonts w:asciiTheme="majorBidi" w:hAnsiTheme="majorBidi" w:cstheme="majorBidi"/>
          <w:b/>
          <w:bCs/>
          <w:color w:val="0070C0"/>
          <w:sz w:val="36"/>
          <w:szCs w:val="36"/>
        </w:rPr>
        <w:t>II</w:t>
      </w:r>
    </w:p>
    <w:p w14:paraId="737E4847" w14:textId="77777777" w:rsid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D263E3B" w14:textId="3F2E64AE" w:rsidR="007A045D" w:rsidRDefault="007A045D" w:rsidP="007A04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7A045D">
        <w:rPr>
          <w:rFonts w:asciiTheme="majorBidi" w:hAnsiTheme="majorBidi" w:cstheme="majorBidi"/>
          <w:b/>
          <w:bCs/>
          <w:color w:val="0070C0"/>
          <w:sz w:val="32"/>
          <w:szCs w:val="32"/>
        </w:rPr>
        <w:t>Effect of Hemodialysis</w:t>
      </w:r>
    </w:p>
    <w:p w14:paraId="71D93BCD" w14:textId="4D86851B" w:rsidR="007A045D" w:rsidRDefault="007A045D" w:rsidP="007A04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Conventional Dialysis</w:t>
      </w:r>
    </w:p>
    <w:p w14:paraId="7AFEA4D6" w14:textId="35B64E25" w:rsidR="00B72695" w:rsidRPr="00B46638" w:rsidRDefault="007A045D" w:rsidP="007A04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0070C0"/>
          <w:sz w:val="32"/>
          <w:szCs w:val="32"/>
        </w:rPr>
        <w:t>Gentamicin</w:t>
      </w:r>
    </w:p>
    <w:p w14:paraId="0BF531C5" w14:textId="6EA2EC97" w:rsidR="00B46638" w:rsidRDefault="007A045D" w:rsidP="007A04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A045D">
        <w:rPr>
          <w:rFonts w:asciiTheme="majorBidi" w:hAnsiTheme="majorBidi" w:cstheme="majorBidi"/>
          <w:sz w:val="28"/>
          <w:szCs w:val="28"/>
        </w:rPr>
        <w:t>G.G.’s renal function continues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to deteriorate to the extent that she requires hemodialysis.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What additional alterations in her gentamicin dosing regimen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are necessary when she is having dialysis?</w:t>
      </w:r>
    </w:p>
    <w:p w14:paraId="2A14605B" w14:textId="77777777" w:rsidR="007A045D" w:rsidRDefault="007A045D" w:rsidP="007A04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F0AF80A" w14:textId="6CE06A15" w:rsidR="007A045D" w:rsidRPr="007A045D" w:rsidRDefault="007A045D" w:rsidP="007A04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A045D">
        <w:rPr>
          <w:rFonts w:asciiTheme="majorBidi" w:hAnsiTheme="majorBidi" w:cstheme="majorBidi"/>
          <w:sz w:val="28"/>
          <w:szCs w:val="28"/>
        </w:rPr>
        <w:t>Gentamicin has a molecular weight of about 500 and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relatively low Vd (averaging 0.25 L/kg), and is about 10%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bound to proteins, all favoring effective removal by conventional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hemodialysis. For a given patient, the observed dialysis clearance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of gentamicin using conventional methods also depends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on factors such as the physical properties of the dialysis filter,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the blood and dialysate flow rates, and the length of dialysis.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Studies indicate that dialysis clearance of gentamicin averages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45 mL/minute compared with an average plasma clearance of 5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mL/minute in patients with end-stage renal disease (ESRD).</w:t>
      </w:r>
    </w:p>
    <w:p w14:paraId="774CE1B2" w14:textId="6FD7FD49" w:rsidR="007A045D" w:rsidRDefault="007A045D" w:rsidP="007A04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A045D">
        <w:rPr>
          <w:rFonts w:asciiTheme="majorBidi" w:hAnsiTheme="majorBidi" w:cstheme="majorBidi"/>
          <w:sz w:val="28"/>
          <w:szCs w:val="28"/>
        </w:rPr>
        <w:t>Therefore, G.G.’s gentamicin dose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must be adjusted to compensate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for the amount of drug that will be removed by dialysis.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Because drug removal represents a combination of drug elimination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by the body and dialysis, the following equation can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used:</w:t>
      </w:r>
    </w:p>
    <w:p w14:paraId="4C1CC74A" w14:textId="002236C8" w:rsidR="007A045D" w:rsidRDefault="007A045D" w:rsidP="007A045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A045D">
        <w:rPr>
          <w:rFonts w:asciiTheme="majorBidi" w:hAnsiTheme="majorBidi" w:cstheme="majorBidi"/>
          <w:sz w:val="28"/>
          <w:szCs w:val="28"/>
        </w:rPr>
        <w:t>Cl</w:t>
      </w:r>
      <w:r w:rsidRPr="007A045D">
        <w:rPr>
          <w:rFonts w:asciiTheme="majorBidi" w:hAnsiTheme="majorBidi" w:cstheme="majorBidi"/>
          <w:sz w:val="28"/>
          <w:szCs w:val="28"/>
          <w:vertAlign w:val="subscript"/>
        </w:rPr>
        <w:t>total</w:t>
      </w:r>
      <w:r w:rsidRPr="007A045D">
        <w:rPr>
          <w:rFonts w:asciiTheme="majorBidi" w:hAnsiTheme="majorBidi" w:cstheme="majorBidi"/>
          <w:sz w:val="28"/>
          <w:szCs w:val="28"/>
        </w:rPr>
        <w:t xml:space="preserve"> = Cl</w:t>
      </w:r>
      <w:r w:rsidRPr="007A045D">
        <w:rPr>
          <w:rFonts w:asciiTheme="majorBidi" w:hAnsiTheme="majorBidi" w:cstheme="majorBidi"/>
          <w:sz w:val="28"/>
          <w:szCs w:val="28"/>
          <w:vertAlign w:val="subscript"/>
        </w:rPr>
        <w:t>dial</w:t>
      </w:r>
      <w:r w:rsidRPr="007A045D">
        <w:rPr>
          <w:rFonts w:asciiTheme="majorBidi" w:hAnsiTheme="majorBidi" w:cstheme="majorBidi"/>
          <w:sz w:val="28"/>
          <w:szCs w:val="28"/>
        </w:rPr>
        <w:t xml:space="preserve"> + Cl</w:t>
      </w:r>
    </w:p>
    <w:p w14:paraId="3B9C40A7" w14:textId="25CCFB23" w:rsidR="007A045D" w:rsidRDefault="007A045D" w:rsidP="007A04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A045D">
        <w:rPr>
          <w:rFonts w:asciiTheme="majorBidi" w:hAnsiTheme="majorBidi" w:cstheme="majorBidi"/>
          <w:sz w:val="28"/>
          <w:szCs w:val="28"/>
        </w:rPr>
        <w:t>where Cl</w:t>
      </w:r>
      <w:r w:rsidRPr="007A045D">
        <w:rPr>
          <w:rFonts w:asciiTheme="majorBidi" w:hAnsiTheme="majorBidi" w:cstheme="majorBidi"/>
          <w:sz w:val="28"/>
          <w:szCs w:val="28"/>
          <w:vertAlign w:val="subscript"/>
        </w:rPr>
        <w:t>total</w:t>
      </w:r>
      <w:r w:rsidRPr="007A045D">
        <w:rPr>
          <w:rFonts w:asciiTheme="majorBidi" w:hAnsiTheme="majorBidi" w:cstheme="majorBidi"/>
          <w:sz w:val="28"/>
          <w:szCs w:val="28"/>
        </w:rPr>
        <w:t xml:space="preserve"> is the total clearance of the drug during dialysis,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Cl</w:t>
      </w:r>
      <w:r w:rsidRPr="007A045D">
        <w:rPr>
          <w:rFonts w:asciiTheme="majorBidi" w:hAnsiTheme="majorBidi" w:cstheme="majorBidi"/>
          <w:sz w:val="28"/>
          <w:szCs w:val="28"/>
          <w:vertAlign w:val="subscript"/>
        </w:rPr>
        <w:t>dial</w:t>
      </w:r>
      <w:r w:rsidRPr="007A045D">
        <w:rPr>
          <w:rFonts w:asciiTheme="majorBidi" w:hAnsiTheme="majorBidi" w:cstheme="majorBidi"/>
          <w:sz w:val="28"/>
          <w:szCs w:val="28"/>
        </w:rPr>
        <w:t xml:space="preserve"> is the clearance by dialysis, and Cl is plasma clearance.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If dialysis clearance is high relative to plasma clearance, drug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removal will be enhanced by the dialysis procedure. The total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clearance of gentamicin in a patient with severe renal dysfunction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during dialysis is 50 mL/minute (45 mL/minute + 5 mL/minute)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or 10 times the clearance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while off dialysis. Plasma clearance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dialysis clearance are related to the elimination half-life by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045D">
        <w:rPr>
          <w:rFonts w:asciiTheme="majorBidi" w:hAnsiTheme="majorBidi" w:cstheme="majorBidi"/>
          <w:sz w:val="28"/>
          <w:szCs w:val="28"/>
        </w:rPr>
        <w:t>following equation:</w:t>
      </w:r>
    </w:p>
    <w:p w14:paraId="70A74D0C" w14:textId="621C02B3" w:rsidR="007A045D" w:rsidRDefault="007A045D" w:rsidP="002C07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t1/2</m:t>
          </m:r>
          <m:r>
            <w:rPr>
              <w:rFonts w:ascii="Cambria Math" w:hAnsi="Cambria Math" w:cstheme="majorBid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(0.693)(Vd)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Cl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vertAlign w:val="subscript"/>
                </w:rPr>
                <m:t>dial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+Cl</m:t>
              </m:r>
            </m:den>
          </m:f>
        </m:oMath>
      </m:oMathPara>
    </w:p>
    <w:p w14:paraId="0E9B7370" w14:textId="1FB06BCD" w:rsidR="00AF7DB1" w:rsidRDefault="002C07F4" w:rsidP="002C07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7F4">
        <w:rPr>
          <w:rFonts w:asciiTheme="majorBidi" w:hAnsiTheme="majorBidi" w:cstheme="majorBidi"/>
          <w:sz w:val="28"/>
          <w:szCs w:val="28"/>
        </w:rPr>
        <w:t xml:space="preserve">Thus, assuming a constant Vd of 17.5 L (i.e., 0.25 L/kg </w:t>
      </w:r>
      <w:r w:rsidRPr="002C07F4">
        <w:rPr>
          <w:rFonts w:asciiTheme="majorBidi" w:hAnsiTheme="majorBidi" w:cstheme="majorBidi" w:hint="eastAsia"/>
          <w:sz w:val="28"/>
          <w:szCs w:val="28"/>
        </w:rPr>
        <w:t>×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7F4">
        <w:rPr>
          <w:rFonts w:asciiTheme="majorBidi" w:hAnsiTheme="majorBidi" w:cstheme="majorBidi"/>
          <w:sz w:val="28"/>
          <w:szCs w:val="28"/>
        </w:rPr>
        <w:t>70 kg), the elimination half-life on dialysis is approximately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7F4">
        <w:rPr>
          <w:rFonts w:asciiTheme="majorBidi" w:hAnsiTheme="majorBidi" w:cstheme="majorBidi"/>
          <w:sz w:val="28"/>
          <w:szCs w:val="28"/>
        </w:rPr>
        <w:t>4 hours compared with 40 hours off dialysis. In addition,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7F4">
        <w:rPr>
          <w:rFonts w:asciiTheme="majorBidi" w:hAnsiTheme="majorBidi" w:cstheme="majorBidi"/>
          <w:sz w:val="28"/>
          <w:szCs w:val="28"/>
        </w:rPr>
        <w:t>extent (fraction) of drug removal (FD) during a timed dialysis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7F4">
        <w:rPr>
          <w:rFonts w:asciiTheme="majorBidi" w:hAnsiTheme="majorBidi" w:cstheme="majorBidi"/>
          <w:sz w:val="28"/>
          <w:szCs w:val="28"/>
        </w:rPr>
        <w:t>run can be predicted from the following equation:</w:t>
      </w:r>
    </w:p>
    <w:p w14:paraId="090340A2" w14:textId="1483C3D1" w:rsidR="002C07F4" w:rsidRPr="002C07F4" w:rsidRDefault="002C07F4" w:rsidP="002C07F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C07F4">
        <w:rPr>
          <w:rFonts w:ascii="Times New Roman" w:hAnsi="Times New Roman" w:cs="Times New Roman"/>
          <w:sz w:val="28"/>
          <w:szCs w:val="28"/>
        </w:rPr>
        <w:t xml:space="preserve">FD =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07F4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7F4">
        <w:rPr>
          <w:rFonts w:ascii="Times New Roman" w:hAnsi="Times New Roman" w:cs="Times New Roman"/>
          <w:sz w:val="28"/>
          <w:szCs w:val="28"/>
          <w:vertAlign w:val="superscript"/>
        </w:rPr>
        <w:t>− (Cl + Cldial) (t/Vd)</w:t>
      </w:r>
    </w:p>
    <w:p w14:paraId="7723350B" w14:textId="611377FB" w:rsidR="00AF7DB1" w:rsidRDefault="002C07F4" w:rsidP="00C0246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7F4">
        <w:rPr>
          <w:rFonts w:asciiTheme="majorBidi" w:hAnsiTheme="majorBidi" w:cstheme="majorBidi"/>
          <w:sz w:val="28"/>
          <w:szCs w:val="28"/>
        </w:rPr>
        <w:lastRenderedPageBreak/>
        <w:t>where t is the duration of dialysis. Therefore, the fraction of</w:t>
      </w:r>
      <w:r w:rsidR="00C02467">
        <w:rPr>
          <w:rFonts w:asciiTheme="majorBidi" w:hAnsiTheme="majorBidi" w:cstheme="majorBidi"/>
          <w:sz w:val="28"/>
          <w:szCs w:val="28"/>
        </w:rPr>
        <w:t xml:space="preserve"> </w:t>
      </w:r>
      <w:r w:rsidRPr="002C07F4">
        <w:rPr>
          <w:rFonts w:asciiTheme="majorBidi" w:hAnsiTheme="majorBidi" w:cstheme="majorBidi"/>
          <w:sz w:val="28"/>
          <w:szCs w:val="28"/>
        </w:rPr>
        <w:t>gentamicin removed (FD) during a 4-hour conventional dialysis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7F4">
        <w:rPr>
          <w:rFonts w:asciiTheme="majorBidi" w:hAnsiTheme="majorBidi" w:cstheme="majorBidi"/>
          <w:sz w:val="28"/>
          <w:szCs w:val="28"/>
        </w:rPr>
        <w:t>procedure is approximately 50%. If specific data are not available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7F4">
        <w:rPr>
          <w:rFonts w:asciiTheme="majorBidi" w:hAnsiTheme="majorBidi" w:cstheme="majorBidi"/>
          <w:sz w:val="28"/>
          <w:szCs w:val="28"/>
        </w:rPr>
        <w:t>for dialysis and plasma clearance, the following equation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7F4">
        <w:rPr>
          <w:rFonts w:asciiTheme="majorBidi" w:hAnsiTheme="majorBidi" w:cstheme="majorBidi"/>
          <w:sz w:val="28"/>
          <w:szCs w:val="28"/>
        </w:rPr>
        <w:t>predict fraction removed using the elimination half-life data alone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7F4">
        <w:rPr>
          <w:rFonts w:asciiTheme="majorBidi" w:hAnsiTheme="majorBidi" w:cstheme="majorBidi"/>
          <w:sz w:val="28"/>
          <w:szCs w:val="28"/>
        </w:rPr>
        <w:t>obtained during dialysis:</w:t>
      </w:r>
    </w:p>
    <w:p w14:paraId="19874CFC" w14:textId="60E55DFB" w:rsidR="002C07F4" w:rsidRPr="002C07F4" w:rsidRDefault="002C07F4" w:rsidP="002C07F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C07F4">
        <w:rPr>
          <w:rFonts w:ascii="Times New Roman" w:hAnsi="Times New Roman" w:cs="Times New Roman"/>
          <w:sz w:val="28"/>
          <w:szCs w:val="28"/>
        </w:rPr>
        <w:t xml:space="preserve">FD = 1 </w:t>
      </w:r>
      <w:r w:rsidRPr="002C07F4">
        <w:rPr>
          <w:rFonts w:ascii="Times New Roman" w:hAnsi="Times New Roman" w:cs="Times New Roman" w:hint="eastAsia"/>
          <w:sz w:val="28"/>
          <w:szCs w:val="28"/>
        </w:rPr>
        <w:t>−</w:t>
      </w:r>
      <w:r w:rsidRPr="002C07F4">
        <w:rPr>
          <w:rFonts w:ascii="Times New Roman" w:hAnsi="Times New Roman" w:cs="Times New Roman"/>
          <w:sz w:val="28"/>
          <w:szCs w:val="28"/>
        </w:rPr>
        <w:t xml:space="preserve"> e</w:t>
      </w:r>
      <w:r w:rsidRPr="002C07F4">
        <w:rPr>
          <w:rFonts w:ascii="Times New Roman" w:hAnsi="Times New Roman" w:cs="Times New Roman" w:hint="eastAsia"/>
          <w:sz w:val="28"/>
          <w:szCs w:val="28"/>
          <w:vertAlign w:val="superscript"/>
        </w:rPr>
        <w:t>−</w:t>
      </w:r>
      <w:r w:rsidRPr="002C07F4">
        <w:rPr>
          <w:rFonts w:ascii="Times New Roman" w:hAnsi="Times New Roman" w:cs="Times New Roman"/>
          <w:sz w:val="28"/>
          <w:szCs w:val="28"/>
          <w:vertAlign w:val="superscript"/>
        </w:rPr>
        <w:t>(0</w:t>
      </w:r>
      <w:r w:rsidRPr="002C07F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.</w:t>
      </w:r>
      <w:r w:rsidRPr="002C07F4">
        <w:rPr>
          <w:rFonts w:ascii="Times New Roman" w:hAnsi="Times New Roman" w:cs="Times New Roman"/>
          <w:sz w:val="28"/>
          <w:szCs w:val="28"/>
          <w:vertAlign w:val="superscript"/>
        </w:rPr>
        <w:t>693</w:t>
      </w:r>
      <w:r w:rsidRPr="002C07F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/</w:t>
      </w:r>
      <w:r w:rsidRPr="002C07F4">
        <w:rPr>
          <w:rFonts w:ascii="Times New Roman" w:hAnsi="Times New Roman" w:cs="Times New Roman"/>
          <w:sz w:val="28"/>
          <w:szCs w:val="28"/>
          <w:vertAlign w:val="superscript"/>
        </w:rPr>
        <w:t>t1</w:t>
      </w:r>
      <w:r w:rsidRPr="002C07F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/</w:t>
      </w:r>
      <w:r w:rsidRPr="002C07F4">
        <w:rPr>
          <w:rFonts w:ascii="Times New Roman" w:hAnsi="Times New Roman" w:cs="Times New Roman"/>
          <w:sz w:val="28"/>
          <w:szCs w:val="28"/>
          <w:vertAlign w:val="superscript"/>
        </w:rPr>
        <w:t>2on) (t)</w:t>
      </w:r>
    </w:p>
    <w:p w14:paraId="112F2339" w14:textId="77777777" w:rsidR="002C07F4" w:rsidRDefault="002C07F4" w:rsidP="002C07F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07F4">
        <w:rPr>
          <w:rFonts w:asciiTheme="majorBidi" w:hAnsiTheme="majorBidi" w:cstheme="majorBidi"/>
          <w:sz w:val="28"/>
          <w:szCs w:val="28"/>
        </w:rPr>
        <w:t>The estimated value of 50% removal is consistent with literature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7F4">
        <w:rPr>
          <w:rFonts w:asciiTheme="majorBidi" w:hAnsiTheme="majorBidi" w:cstheme="majorBidi"/>
          <w:sz w:val="28"/>
          <w:szCs w:val="28"/>
        </w:rPr>
        <w:t>values indicating that 50% to 70% of a dose of gentamicin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7F4">
        <w:rPr>
          <w:rFonts w:asciiTheme="majorBidi" w:hAnsiTheme="majorBidi" w:cstheme="majorBidi"/>
          <w:sz w:val="28"/>
          <w:szCs w:val="28"/>
        </w:rPr>
        <w:t>removed during a 4-hour dialysis procedure. A limitation of this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7F4">
        <w:rPr>
          <w:rFonts w:asciiTheme="majorBidi" w:hAnsiTheme="majorBidi" w:cstheme="majorBidi"/>
          <w:sz w:val="28"/>
          <w:szCs w:val="28"/>
        </w:rPr>
        <w:t>equation, however, is that it does not consider the redistribution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7F4">
        <w:rPr>
          <w:rFonts w:asciiTheme="majorBidi" w:hAnsiTheme="majorBidi" w:cstheme="majorBidi"/>
          <w:sz w:val="28"/>
          <w:szCs w:val="28"/>
        </w:rPr>
        <w:t>of drug from the tissues back into the plasma after the dialysis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7F4">
        <w:rPr>
          <w:rFonts w:asciiTheme="majorBidi" w:hAnsiTheme="majorBidi" w:cstheme="majorBidi"/>
          <w:sz w:val="28"/>
          <w:szCs w:val="28"/>
        </w:rPr>
        <w:t xml:space="preserve">procedure. </w:t>
      </w:r>
    </w:p>
    <w:p w14:paraId="2E67B135" w14:textId="52734036" w:rsidR="00AF7DB1" w:rsidRDefault="00A9796F" w:rsidP="0031024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9796F">
        <w:rPr>
          <w:rFonts w:asciiTheme="majorBidi" w:hAnsiTheme="majorBidi" w:cstheme="majorBidi"/>
          <w:sz w:val="28"/>
          <w:szCs w:val="28"/>
        </w:rPr>
        <w:t>It generally is difficult to calculate an appropriate maintenance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9796F">
        <w:rPr>
          <w:rFonts w:asciiTheme="majorBidi" w:hAnsiTheme="majorBidi" w:cstheme="majorBidi"/>
          <w:sz w:val="28"/>
          <w:szCs w:val="28"/>
        </w:rPr>
        <w:t>dose for patients having hemodialysis that will maintain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9796F">
        <w:rPr>
          <w:rFonts w:asciiTheme="majorBidi" w:hAnsiTheme="majorBidi" w:cstheme="majorBidi"/>
          <w:sz w:val="28"/>
          <w:szCs w:val="28"/>
        </w:rPr>
        <w:t>peak and trough concentrations similar to patients with normal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9796F">
        <w:rPr>
          <w:rFonts w:asciiTheme="majorBidi" w:hAnsiTheme="majorBidi" w:cstheme="majorBidi"/>
          <w:sz w:val="28"/>
          <w:szCs w:val="28"/>
        </w:rPr>
        <w:t>renal function, in part because of the large variability found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9796F">
        <w:rPr>
          <w:rFonts w:asciiTheme="majorBidi" w:hAnsiTheme="majorBidi" w:cstheme="majorBidi"/>
          <w:sz w:val="28"/>
          <w:szCs w:val="28"/>
        </w:rPr>
        <w:t>in aminoglycoside pharmacokinetic parameters</w:t>
      </w:r>
      <w:r>
        <w:rPr>
          <w:rFonts w:asciiTheme="majorBidi" w:hAnsiTheme="majorBidi" w:cstheme="majorBidi"/>
          <w:sz w:val="28"/>
          <w:szCs w:val="28"/>
        </w:rPr>
        <w:t>.</w:t>
      </w:r>
      <w:r w:rsidR="00310248">
        <w:rPr>
          <w:rFonts w:ascii="DanteMT-Regular" w:hAnsi="DanteMT-Regular" w:cs="DanteMT-Regular"/>
          <w:sz w:val="20"/>
          <w:szCs w:val="20"/>
        </w:rPr>
        <w:t xml:space="preserve"> </w:t>
      </w:r>
      <w:r w:rsidR="00310248" w:rsidRPr="00310248">
        <w:rPr>
          <w:rFonts w:asciiTheme="majorBidi" w:hAnsiTheme="majorBidi" w:cstheme="majorBidi"/>
          <w:sz w:val="28"/>
          <w:szCs w:val="28"/>
        </w:rPr>
        <w:t>As a compromise in p</w:t>
      </w:r>
      <w:r w:rsidR="00310248">
        <w:rPr>
          <w:rFonts w:asciiTheme="majorBidi" w:hAnsiTheme="majorBidi" w:cstheme="majorBidi"/>
          <w:sz w:val="28"/>
          <w:szCs w:val="28"/>
        </w:rPr>
        <w:t xml:space="preserve">atients receiving hemodialysis, </w:t>
      </w:r>
      <w:r w:rsidR="00310248" w:rsidRPr="00310248">
        <w:rPr>
          <w:rFonts w:asciiTheme="majorBidi" w:hAnsiTheme="majorBidi" w:cstheme="majorBidi"/>
          <w:sz w:val="28"/>
          <w:szCs w:val="28"/>
        </w:rPr>
        <w:t>gentamicin</w:t>
      </w:r>
      <w:r w:rsidR="00310248">
        <w:rPr>
          <w:rFonts w:asciiTheme="majorBidi" w:hAnsiTheme="majorBidi" w:cstheme="majorBidi"/>
          <w:sz w:val="28"/>
          <w:szCs w:val="28"/>
        </w:rPr>
        <w:t xml:space="preserve"> </w:t>
      </w:r>
      <w:r w:rsidR="00310248" w:rsidRPr="00310248">
        <w:rPr>
          <w:rFonts w:asciiTheme="majorBidi" w:hAnsiTheme="majorBidi" w:cstheme="majorBidi"/>
          <w:sz w:val="28"/>
          <w:szCs w:val="28"/>
        </w:rPr>
        <w:t>doses are given to achieve a predialysis trough concentration of</w:t>
      </w:r>
      <w:r w:rsidR="00310248">
        <w:rPr>
          <w:rFonts w:asciiTheme="majorBidi" w:hAnsiTheme="majorBidi" w:cstheme="majorBidi"/>
          <w:sz w:val="28"/>
          <w:szCs w:val="28"/>
        </w:rPr>
        <w:t xml:space="preserve"> </w:t>
      </w:r>
      <w:r w:rsidR="00310248" w:rsidRPr="00310248">
        <w:rPr>
          <w:rFonts w:asciiTheme="majorBidi" w:hAnsiTheme="majorBidi" w:cstheme="majorBidi"/>
          <w:sz w:val="28"/>
          <w:szCs w:val="28"/>
        </w:rPr>
        <w:t>approximately 3 mg/L. This can generally be achieved with a</w:t>
      </w:r>
      <w:r w:rsidR="00310248">
        <w:rPr>
          <w:rFonts w:asciiTheme="majorBidi" w:hAnsiTheme="majorBidi" w:cstheme="majorBidi"/>
          <w:sz w:val="28"/>
          <w:szCs w:val="28"/>
        </w:rPr>
        <w:t xml:space="preserve"> </w:t>
      </w:r>
      <w:r w:rsidR="00310248" w:rsidRPr="00310248">
        <w:rPr>
          <w:rFonts w:asciiTheme="majorBidi" w:hAnsiTheme="majorBidi" w:cstheme="majorBidi"/>
          <w:sz w:val="28"/>
          <w:szCs w:val="28"/>
        </w:rPr>
        <w:t>loading dose of 2 mg/kg, followed by a maintenance dose of 1</w:t>
      </w:r>
      <w:r w:rsidR="00310248">
        <w:rPr>
          <w:rFonts w:asciiTheme="majorBidi" w:hAnsiTheme="majorBidi" w:cstheme="majorBidi"/>
          <w:sz w:val="28"/>
          <w:szCs w:val="28"/>
        </w:rPr>
        <w:t xml:space="preserve"> </w:t>
      </w:r>
      <w:r w:rsidR="00310248" w:rsidRPr="00310248">
        <w:rPr>
          <w:rFonts w:asciiTheme="majorBidi" w:hAnsiTheme="majorBidi" w:cstheme="majorBidi"/>
          <w:sz w:val="28"/>
          <w:szCs w:val="28"/>
        </w:rPr>
        <w:t>mg/kg after each dialysis session.</w:t>
      </w:r>
    </w:p>
    <w:p w14:paraId="2A734AC9" w14:textId="77777777" w:rsidR="00310248" w:rsidRDefault="00310248" w:rsidP="0031024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7E80ED9" w14:textId="59B20CC0" w:rsidR="00310248" w:rsidRPr="00B46638" w:rsidRDefault="00310248" w:rsidP="0031024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0070C0"/>
          <w:sz w:val="32"/>
          <w:szCs w:val="32"/>
        </w:rPr>
        <w:t>Ceftazidime</w:t>
      </w:r>
    </w:p>
    <w:p w14:paraId="1A88FBB6" w14:textId="20C79F93" w:rsidR="00A9796F" w:rsidRDefault="00310248" w:rsidP="0031024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10248">
        <w:rPr>
          <w:rFonts w:asciiTheme="majorBidi" w:hAnsiTheme="majorBidi" w:cstheme="majorBidi"/>
          <w:sz w:val="28"/>
          <w:szCs w:val="28"/>
        </w:rPr>
        <w:t>Why does the dose of ceftazidime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0248">
        <w:rPr>
          <w:rFonts w:asciiTheme="majorBidi" w:hAnsiTheme="majorBidi" w:cstheme="majorBidi"/>
          <w:sz w:val="28"/>
          <w:szCs w:val="28"/>
        </w:rPr>
        <w:t>in G.G. have to be adjusted because of her hemodialysis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0248">
        <w:rPr>
          <w:rFonts w:asciiTheme="majorBidi" w:hAnsiTheme="majorBidi" w:cstheme="majorBidi"/>
          <w:sz w:val="28"/>
          <w:szCs w:val="28"/>
        </w:rPr>
        <w:t>when this drug has such a large therapeutic window?</w:t>
      </w:r>
    </w:p>
    <w:p w14:paraId="5DE2C2C3" w14:textId="77777777" w:rsidR="00310248" w:rsidRPr="00310248" w:rsidRDefault="00310248" w:rsidP="00404C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</w:p>
    <w:p w14:paraId="6D65DF7B" w14:textId="731AB85A" w:rsidR="00B9632D" w:rsidRDefault="00310248" w:rsidP="0031024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10248">
        <w:rPr>
          <w:rFonts w:asciiTheme="majorBidi" w:hAnsiTheme="majorBidi" w:cstheme="majorBidi"/>
          <w:sz w:val="28"/>
          <w:szCs w:val="28"/>
        </w:rPr>
        <w:t>Because only 21% of ceftazidime is protein bound and its Vd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0248">
        <w:rPr>
          <w:rFonts w:asciiTheme="majorBidi" w:hAnsiTheme="majorBidi" w:cstheme="majorBidi"/>
          <w:sz w:val="28"/>
          <w:szCs w:val="28"/>
        </w:rPr>
        <w:t>0.2 L/kg, it should be readily removed by hemodialysis.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0248">
        <w:rPr>
          <w:rFonts w:asciiTheme="majorBidi" w:hAnsiTheme="majorBidi" w:cstheme="majorBidi"/>
          <w:sz w:val="28"/>
          <w:szCs w:val="28"/>
        </w:rPr>
        <w:t>The mean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0248">
        <w:rPr>
          <w:rFonts w:asciiTheme="majorBidi" w:hAnsiTheme="majorBidi" w:cstheme="majorBidi"/>
          <w:sz w:val="28"/>
          <w:szCs w:val="28"/>
        </w:rPr>
        <w:t>dialysis clearance of ceftazidime is 55 mL/minute, with 55%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0248">
        <w:rPr>
          <w:rFonts w:asciiTheme="majorBidi" w:hAnsiTheme="majorBidi" w:cstheme="majorBidi"/>
          <w:sz w:val="28"/>
          <w:szCs w:val="28"/>
        </w:rPr>
        <w:t>the drug removed during 4 hours of conventional hemodialysis.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0248">
        <w:rPr>
          <w:rFonts w:asciiTheme="majorBidi" w:hAnsiTheme="majorBidi" w:cstheme="majorBidi"/>
          <w:sz w:val="28"/>
          <w:szCs w:val="28"/>
        </w:rPr>
        <w:t>A supplemental dose of ceftazidime should be given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0248">
        <w:rPr>
          <w:rFonts w:asciiTheme="majorBidi" w:hAnsiTheme="majorBidi" w:cstheme="majorBidi"/>
          <w:sz w:val="28"/>
          <w:szCs w:val="28"/>
        </w:rPr>
        <w:t>G.G. after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0248">
        <w:rPr>
          <w:rFonts w:asciiTheme="majorBidi" w:hAnsiTheme="majorBidi" w:cstheme="majorBidi"/>
          <w:sz w:val="28"/>
          <w:szCs w:val="28"/>
        </w:rPr>
        <w:t>each hemodialysis session to maintain a therapeutic concentration.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0248">
        <w:rPr>
          <w:rFonts w:asciiTheme="majorBidi" w:hAnsiTheme="majorBidi" w:cstheme="majorBidi"/>
          <w:sz w:val="28"/>
          <w:szCs w:val="28"/>
        </w:rPr>
        <w:t>Half of the daily ceftazidime dose should be administered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10248">
        <w:rPr>
          <w:rFonts w:asciiTheme="majorBidi" w:hAnsiTheme="majorBidi" w:cstheme="majorBidi"/>
          <w:sz w:val="28"/>
          <w:szCs w:val="28"/>
        </w:rPr>
        <w:t>after each dialysis session.</w:t>
      </w:r>
    </w:p>
    <w:p w14:paraId="392CC2F0" w14:textId="1E0F2291" w:rsidR="00310248" w:rsidRDefault="00310248" w:rsidP="0031024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EC6FC33" w14:textId="77777777" w:rsidR="007D03E2" w:rsidRDefault="007D03E2" w:rsidP="00404C1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7D03E2">
        <w:rPr>
          <w:rFonts w:asciiTheme="majorBidi" w:hAnsiTheme="majorBidi" w:cstheme="majorBidi"/>
          <w:b/>
          <w:bCs/>
          <w:color w:val="0070C0"/>
          <w:sz w:val="32"/>
          <w:szCs w:val="32"/>
        </w:rPr>
        <w:t>Phenytoin</w:t>
      </w:r>
    </w:p>
    <w:p w14:paraId="7ABB186D" w14:textId="687B13E2" w:rsidR="00404C19" w:rsidRPr="00B46638" w:rsidRDefault="007D03E2" w:rsidP="007D03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0070C0"/>
          <w:sz w:val="32"/>
          <w:szCs w:val="32"/>
        </w:rPr>
        <w:t>Protein</w:t>
      </w:r>
      <w:r w:rsidR="00404C19" w:rsidRPr="00B46638">
        <w:rPr>
          <w:rFonts w:asciiTheme="majorBidi" w:hAnsiTheme="majorBidi" w:cstheme="majorBidi"/>
          <w:color w:val="0070C0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0070C0"/>
          <w:sz w:val="32"/>
          <w:szCs w:val="32"/>
        </w:rPr>
        <w:t>Binding</w:t>
      </w:r>
    </w:p>
    <w:p w14:paraId="78C41AA5" w14:textId="25022D67" w:rsidR="007D03E2" w:rsidRPr="007D03E2" w:rsidRDefault="007D03E2" w:rsidP="007D03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03E2">
        <w:rPr>
          <w:rFonts w:asciiTheme="majorBidi" w:hAnsiTheme="majorBidi" w:cstheme="majorBidi"/>
          <w:sz w:val="28"/>
          <w:szCs w:val="28"/>
        </w:rPr>
        <w:t>R.S., a 24-year-old man with ESRD from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03E2">
        <w:rPr>
          <w:rFonts w:asciiTheme="majorBidi" w:hAnsiTheme="majorBidi" w:cstheme="majorBidi"/>
          <w:sz w:val="28"/>
          <w:szCs w:val="28"/>
        </w:rPr>
        <w:t>rapidly progressive glomerulonephritis, is treated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03E2">
        <w:rPr>
          <w:rFonts w:asciiTheme="majorBidi" w:hAnsiTheme="majorBidi" w:cstheme="majorBidi"/>
          <w:sz w:val="28"/>
          <w:szCs w:val="28"/>
        </w:rPr>
        <w:t>hemodialysis three times weekly. He has a 7-year history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03E2">
        <w:rPr>
          <w:rFonts w:asciiTheme="majorBidi" w:hAnsiTheme="majorBidi" w:cstheme="majorBidi"/>
          <w:sz w:val="28"/>
          <w:szCs w:val="28"/>
        </w:rPr>
        <w:t>generalized tonic-clonic seizures and has been treated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03E2">
        <w:rPr>
          <w:rFonts w:asciiTheme="majorBidi" w:hAnsiTheme="majorBidi" w:cstheme="majorBidi"/>
          <w:sz w:val="28"/>
          <w:szCs w:val="28"/>
        </w:rPr>
        <w:t>phenytoin. He presents to the ED after having had a seizure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03E2">
        <w:rPr>
          <w:rFonts w:asciiTheme="majorBidi" w:hAnsiTheme="majorBidi" w:cstheme="majorBidi"/>
          <w:sz w:val="28"/>
          <w:szCs w:val="28"/>
        </w:rPr>
        <w:t>lasting about 5 minutes. His mother states that he ran out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03E2">
        <w:rPr>
          <w:rFonts w:asciiTheme="majorBidi" w:hAnsiTheme="majorBidi" w:cstheme="majorBidi"/>
          <w:sz w:val="28"/>
          <w:szCs w:val="28"/>
        </w:rPr>
        <w:t>of phenytoin 4 weeks ago. Because his plasma phenytoin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03E2">
        <w:rPr>
          <w:rFonts w:asciiTheme="majorBidi" w:hAnsiTheme="majorBidi" w:cstheme="majorBidi"/>
          <w:sz w:val="28"/>
          <w:szCs w:val="28"/>
        </w:rPr>
        <w:t>concentration on admission was less than 2.5 mg/L, R.S.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03E2">
        <w:rPr>
          <w:rFonts w:asciiTheme="majorBidi" w:hAnsiTheme="majorBidi" w:cstheme="majorBidi"/>
          <w:sz w:val="28"/>
          <w:szCs w:val="28"/>
        </w:rPr>
        <w:t xml:space="preserve">is given an IV loading dose of phenytoin: 15 mg/kg </w:t>
      </w:r>
      <w:r w:rsidRPr="007D03E2">
        <w:rPr>
          <w:rFonts w:asciiTheme="majorBidi" w:hAnsiTheme="majorBidi" w:cstheme="majorBidi"/>
          <w:sz w:val="28"/>
          <w:szCs w:val="28"/>
        </w:rPr>
        <w:lastRenderedPageBreak/>
        <w:t>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03E2">
        <w:rPr>
          <w:rFonts w:asciiTheme="majorBidi" w:hAnsiTheme="majorBidi" w:cstheme="majorBidi"/>
          <w:sz w:val="28"/>
          <w:szCs w:val="28"/>
        </w:rPr>
        <w:t>30 minutes. Additional admission laboratory work includes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03E2">
        <w:rPr>
          <w:rFonts w:asciiTheme="majorBidi" w:hAnsiTheme="majorBidi" w:cstheme="majorBidi"/>
          <w:sz w:val="28"/>
          <w:szCs w:val="28"/>
        </w:rPr>
        <w:t>the following:</w:t>
      </w:r>
    </w:p>
    <w:p w14:paraId="163F2208" w14:textId="77777777" w:rsidR="007D03E2" w:rsidRPr="007D03E2" w:rsidRDefault="007D03E2" w:rsidP="007D03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03E2">
        <w:rPr>
          <w:rFonts w:asciiTheme="majorBidi" w:hAnsiTheme="majorBidi" w:cstheme="majorBidi"/>
          <w:sz w:val="28"/>
          <w:szCs w:val="28"/>
        </w:rPr>
        <w:t>SCr, 8.6 mg/dL</w:t>
      </w:r>
    </w:p>
    <w:p w14:paraId="0F094A93" w14:textId="77777777" w:rsidR="007D03E2" w:rsidRPr="007D03E2" w:rsidRDefault="007D03E2" w:rsidP="007D03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03E2">
        <w:rPr>
          <w:rFonts w:asciiTheme="majorBidi" w:hAnsiTheme="majorBidi" w:cstheme="majorBidi"/>
          <w:sz w:val="28"/>
          <w:szCs w:val="28"/>
        </w:rPr>
        <w:t>BUN, 110 mg/dL</w:t>
      </w:r>
    </w:p>
    <w:p w14:paraId="727EAFAF" w14:textId="77777777" w:rsidR="007D03E2" w:rsidRPr="007D03E2" w:rsidRDefault="007D03E2" w:rsidP="007D03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03E2">
        <w:rPr>
          <w:rFonts w:asciiTheme="majorBidi" w:hAnsiTheme="majorBidi" w:cstheme="majorBidi"/>
          <w:sz w:val="28"/>
          <w:szCs w:val="28"/>
        </w:rPr>
        <w:t>Potassium, 5.4 mEq/L</w:t>
      </w:r>
    </w:p>
    <w:p w14:paraId="0126B4F4" w14:textId="77777777" w:rsidR="007D03E2" w:rsidRPr="007D03E2" w:rsidRDefault="007D03E2" w:rsidP="007D03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03E2">
        <w:rPr>
          <w:rFonts w:asciiTheme="majorBidi" w:hAnsiTheme="majorBidi" w:cstheme="majorBidi"/>
          <w:sz w:val="28"/>
          <w:szCs w:val="28"/>
        </w:rPr>
        <w:t>Calcium, 9 mg/dL</w:t>
      </w:r>
    </w:p>
    <w:p w14:paraId="44F8A92A" w14:textId="77777777" w:rsidR="007D03E2" w:rsidRPr="007D03E2" w:rsidRDefault="007D03E2" w:rsidP="007D03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03E2">
        <w:rPr>
          <w:rFonts w:asciiTheme="majorBidi" w:hAnsiTheme="majorBidi" w:cstheme="majorBidi"/>
          <w:sz w:val="28"/>
          <w:szCs w:val="28"/>
        </w:rPr>
        <w:t>Albumin, 2.9 g/dL</w:t>
      </w:r>
    </w:p>
    <w:p w14:paraId="05368645" w14:textId="5B16680D" w:rsidR="007D03E2" w:rsidRDefault="007D03E2" w:rsidP="007D03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03E2">
        <w:rPr>
          <w:rFonts w:asciiTheme="majorBidi" w:hAnsiTheme="majorBidi" w:cstheme="majorBidi"/>
          <w:sz w:val="28"/>
          <w:szCs w:val="28"/>
        </w:rPr>
        <w:t>Eight hours after administration of phenytoin, his level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03E2">
        <w:rPr>
          <w:rFonts w:asciiTheme="majorBidi" w:hAnsiTheme="majorBidi" w:cstheme="majorBidi"/>
          <w:sz w:val="28"/>
          <w:szCs w:val="28"/>
        </w:rPr>
        <w:t>5 mg/L. Is this level subtherapeutic?</w:t>
      </w:r>
    </w:p>
    <w:p w14:paraId="32548BAD" w14:textId="77777777" w:rsidR="007D03E2" w:rsidRDefault="007D03E2" w:rsidP="007D03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22E409A" w14:textId="4B3E635F" w:rsidR="00761F57" w:rsidRPr="00761F57" w:rsidRDefault="00761F57" w:rsidP="00761F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1F57">
        <w:rPr>
          <w:rFonts w:asciiTheme="majorBidi" w:hAnsiTheme="majorBidi" w:cstheme="majorBidi"/>
          <w:sz w:val="28"/>
          <w:szCs w:val="28"/>
        </w:rPr>
        <w:t>R.S. has severe renal disease,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which will affect the total (bound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plus free) phenytoin concentration achieved and how this concentration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is interpreted. Decreased plasma protein binding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result in lower measured total phenytoin concentrations, and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calculated apparent Vd may increase. In patients with normal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renal function, approximately 90% of the measured phenytoin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bound to albumin, and 10% is free.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The free fraction of phenytoin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is increased to about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20%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25%in patients with uremia.</w:t>
      </w:r>
    </w:p>
    <w:p w14:paraId="5170A1C3" w14:textId="3262BF63" w:rsidR="00761F57" w:rsidRPr="00761F57" w:rsidRDefault="00761F57" w:rsidP="001D31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1F57">
        <w:rPr>
          <w:rFonts w:asciiTheme="majorBidi" w:hAnsiTheme="majorBidi" w:cstheme="majorBidi"/>
          <w:sz w:val="28"/>
          <w:szCs w:val="28"/>
        </w:rPr>
        <w:t>Because the free fraction for phenytoin is increased in patients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with uremia, lower plasma concentrations will produce therapeutic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effects that will be equivalent to those produced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higher phenytoin concentrations in patients with normal renal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function. Phenytoin is an acidic drug that is bound primarily</w:t>
      </w:r>
      <w:r w:rsidR="001D314C"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to albumin. A number of mechanisms have been proposed that</w:t>
      </w:r>
      <w:r w:rsidR="001D314C"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account for the decreased binding, including (a) decreased albumin</w:t>
      </w:r>
      <w:r w:rsidR="001D314C"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concentration, (b) accumulation of uremic byproducts that</w:t>
      </w:r>
      <w:r w:rsidR="001D314C"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displace acidic drugs from their binding sites, and (c) alteration</w:t>
      </w:r>
      <w:r w:rsidR="001D314C"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in the conformation or structure of albumin in uremic patients,</w:t>
      </w:r>
      <w:r w:rsidR="001D314C"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resulting in a reduced number of binding sites or decreased affinity</w:t>
      </w:r>
      <w:r w:rsidR="001D314C"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for drugs. Other acidic</w:t>
      </w:r>
      <w:r w:rsidR="001D314C"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drugs with altered protein binding in renal disease are listed in</w:t>
      </w:r>
      <w:r w:rsidR="001D314C"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 xml:space="preserve">Table </w:t>
      </w:r>
      <w:r w:rsidR="001D314C">
        <w:rPr>
          <w:rFonts w:asciiTheme="majorBidi" w:hAnsiTheme="majorBidi" w:cstheme="majorBidi"/>
          <w:sz w:val="28"/>
          <w:szCs w:val="28"/>
        </w:rPr>
        <w:t>9</w:t>
      </w:r>
      <w:r w:rsidRPr="00761F57">
        <w:rPr>
          <w:rFonts w:asciiTheme="majorBidi" w:hAnsiTheme="majorBidi" w:cstheme="majorBidi"/>
          <w:sz w:val="28"/>
          <w:szCs w:val="28"/>
        </w:rPr>
        <w:t>-1.</w:t>
      </w:r>
    </w:p>
    <w:p w14:paraId="70287170" w14:textId="0DB19F53" w:rsidR="00761F57" w:rsidRDefault="00761F57" w:rsidP="001D31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61F57">
        <w:rPr>
          <w:rFonts w:asciiTheme="majorBidi" w:hAnsiTheme="majorBidi" w:cstheme="majorBidi"/>
          <w:sz w:val="28"/>
          <w:szCs w:val="28"/>
        </w:rPr>
        <w:t xml:space="preserve">Figure </w:t>
      </w:r>
      <w:r w:rsidR="001D314C">
        <w:rPr>
          <w:rFonts w:asciiTheme="majorBidi" w:hAnsiTheme="majorBidi" w:cstheme="majorBidi"/>
          <w:sz w:val="28"/>
          <w:szCs w:val="28"/>
        </w:rPr>
        <w:t>9-1</w:t>
      </w:r>
      <w:r w:rsidRPr="00761F57">
        <w:rPr>
          <w:rFonts w:asciiTheme="majorBidi" w:hAnsiTheme="majorBidi" w:cstheme="majorBidi"/>
          <w:sz w:val="28"/>
          <w:szCs w:val="28"/>
        </w:rPr>
        <w:t xml:space="preserve"> illustrates changes in phenytoin levels when uremic</w:t>
      </w:r>
      <w:r w:rsidR="001D314C">
        <w:rPr>
          <w:rFonts w:asciiTheme="majorBidi" w:hAnsiTheme="majorBidi" w:cstheme="majorBidi"/>
          <w:sz w:val="28"/>
          <w:szCs w:val="28"/>
        </w:rPr>
        <w:t xml:space="preserve"> </w:t>
      </w:r>
      <w:r w:rsidRPr="00761F57">
        <w:rPr>
          <w:rFonts w:asciiTheme="majorBidi" w:hAnsiTheme="majorBidi" w:cstheme="majorBidi"/>
          <w:sz w:val="28"/>
          <w:szCs w:val="28"/>
        </w:rPr>
        <w:t>and nonuremic patients are given equivalent doses.</w:t>
      </w:r>
    </w:p>
    <w:p w14:paraId="66C217CF" w14:textId="77777777" w:rsidR="00911DD5" w:rsidRDefault="00911DD5" w:rsidP="00911DD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A26DDEF" w14:textId="04C7AF0B" w:rsidR="00CE4A28" w:rsidRDefault="00CE4A28" w:rsidP="001D31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E4A28">
        <w:rPr>
          <w:rFonts w:asciiTheme="majorBidi" w:hAnsiTheme="majorBidi" w:cstheme="majorBidi"/>
          <w:b/>
          <w:bCs/>
          <w:sz w:val="28"/>
          <w:szCs w:val="28"/>
        </w:rPr>
        <w:t xml:space="preserve">Table </w:t>
      </w:r>
      <w:r w:rsidR="001D314C"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CE4A28">
        <w:rPr>
          <w:rFonts w:asciiTheme="majorBidi" w:hAnsiTheme="majorBidi" w:cstheme="majorBidi"/>
          <w:b/>
          <w:bCs/>
          <w:sz w:val="28"/>
          <w:szCs w:val="28"/>
        </w:rPr>
        <w:t xml:space="preserve">-1: </w:t>
      </w:r>
      <w:r w:rsidR="001D314C" w:rsidRPr="001D314C">
        <w:rPr>
          <w:rFonts w:asciiTheme="majorBidi" w:hAnsiTheme="majorBidi" w:cstheme="majorBidi"/>
          <w:b/>
          <w:bCs/>
          <w:sz w:val="28"/>
          <w:szCs w:val="28"/>
        </w:rPr>
        <w:t>Plasma Protein Binding (%) of Acidic Drugs in Renal Failure</w:t>
      </w:r>
      <w:r w:rsidRPr="00CE4A28">
        <w:rPr>
          <w:rFonts w:asciiTheme="majorBidi" w:hAnsiTheme="majorBidi" w:cstheme="majorBidi"/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D314C" w14:paraId="4BCDE837" w14:textId="77777777" w:rsidTr="001D314C">
        <w:tc>
          <w:tcPr>
            <w:tcW w:w="2840" w:type="dxa"/>
          </w:tcPr>
          <w:p w14:paraId="4E5BDE86" w14:textId="031ED1FC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 xml:space="preserve">Drug </w:t>
            </w:r>
          </w:p>
        </w:tc>
        <w:tc>
          <w:tcPr>
            <w:tcW w:w="2841" w:type="dxa"/>
          </w:tcPr>
          <w:p w14:paraId="3574A3A8" w14:textId="1DB9DE47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 xml:space="preserve">Normal </w:t>
            </w:r>
          </w:p>
        </w:tc>
        <w:tc>
          <w:tcPr>
            <w:tcW w:w="2841" w:type="dxa"/>
          </w:tcPr>
          <w:p w14:paraId="56B729DD" w14:textId="7E91091B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>Renal Failure</w:t>
            </w:r>
          </w:p>
        </w:tc>
      </w:tr>
      <w:tr w:rsidR="001D314C" w14:paraId="605A386F" w14:textId="77777777" w:rsidTr="001D314C">
        <w:tc>
          <w:tcPr>
            <w:tcW w:w="2840" w:type="dxa"/>
          </w:tcPr>
          <w:p w14:paraId="35525328" w14:textId="1D173D4F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 xml:space="preserve">Cefazolin </w:t>
            </w:r>
          </w:p>
        </w:tc>
        <w:tc>
          <w:tcPr>
            <w:tcW w:w="2841" w:type="dxa"/>
          </w:tcPr>
          <w:p w14:paraId="324D02D1" w14:textId="006C34B6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85 </w:t>
            </w:r>
          </w:p>
        </w:tc>
        <w:tc>
          <w:tcPr>
            <w:tcW w:w="2841" w:type="dxa"/>
          </w:tcPr>
          <w:p w14:paraId="4F71EB3C" w14:textId="4E3F18E0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>69</w:t>
            </w:r>
          </w:p>
        </w:tc>
      </w:tr>
      <w:tr w:rsidR="001D314C" w14:paraId="22EABE04" w14:textId="77777777" w:rsidTr="001D314C">
        <w:tc>
          <w:tcPr>
            <w:tcW w:w="2840" w:type="dxa"/>
          </w:tcPr>
          <w:p w14:paraId="0033D9C9" w14:textId="1F97B3C7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 xml:space="preserve">Cefoxitin </w:t>
            </w:r>
          </w:p>
        </w:tc>
        <w:tc>
          <w:tcPr>
            <w:tcW w:w="2841" w:type="dxa"/>
          </w:tcPr>
          <w:p w14:paraId="6036B73B" w14:textId="1E5BE163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73 </w:t>
            </w:r>
          </w:p>
        </w:tc>
        <w:tc>
          <w:tcPr>
            <w:tcW w:w="2841" w:type="dxa"/>
          </w:tcPr>
          <w:p w14:paraId="2E2029A7" w14:textId="65AA2A8E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</w:tr>
      <w:tr w:rsidR="001D314C" w14:paraId="21E2BAEF" w14:textId="77777777" w:rsidTr="001D314C">
        <w:tc>
          <w:tcPr>
            <w:tcW w:w="2840" w:type="dxa"/>
          </w:tcPr>
          <w:p w14:paraId="22886AD5" w14:textId="19D895FD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 xml:space="preserve">Clofibrate </w:t>
            </w:r>
          </w:p>
        </w:tc>
        <w:tc>
          <w:tcPr>
            <w:tcW w:w="2841" w:type="dxa"/>
          </w:tcPr>
          <w:p w14:paraId="66773CE0" w14:textId="16DD731C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97 </w:t>
            </w:r>
          </w:p>
        </w:tc>
        <w:tc>
          <w:tcPr>
            <w:tcW w:w="2841" w:type="dxa"/>
          </w:tcPr>
          <w:p w14:paraId="076752DE" w14:textId="4C2F79FA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>91</w:t>
            </w:r>
          </w:p>
        </w:tc>
      </w:tr>
      <w:tr w:rsidR="001D314C" w14:paraId="5E3EE766" w14:textId="77777777" w:rsidTr="001D314C">
        <w:tc>
          <w:tcPr>
            <w:tcW w:w="2840" w:type="dxa"/>
          </w:tcPr>
          <w:p w14:paraId="122A23B7" w14:textId="24FEC355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 xml:space="preserve">Diazoxide </w:t>
            </w:r>
          </w:p>
        </w:tc>
        <w:tc>
          <w:tcPr>
            <w:tcW w:w="2841" w:type="dxa"/>
          </w:tcPr>
          <w:p w14:paraId="75A8E27E" w14:textId="4B94F519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94 </w:t>
            </w:r>
          </w:p>
        </w:tc>
        <w:tc>
          <w:tcPr>
            <w:tcW w:w="2841" w:type="dxa"/>
          </w:tcPr>
          <w:p w14:paraId="6B05F2C2" w14:textId="54675757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>84</w:t>
            </w:r>
          </w:p>
        </w:tc>
      </w:tr>
      <w:tr w:rsidR="001D314C" w14:paraId="4F07FE3C" w14:textId="77777777" w:rsidTr="001D314C">
        <w:tc>
          <w:tcPr>
            <w:tcW w:w="2840" w:type="dxa"/>
          </w:tcPr>
          <w:p w14:paraId="2E4015B0" w14:textId="5C98651A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 xml:space="preserve">Furosemide </w:t>
            </w:r>
          </w:p>
        </w:tc>
        <w:tc>
          <w:tcPr>
            <w:tcW w:w="2841" w:type="dxa"/>
          </w:tcPr>
          <w:p w14:paraId="6B8CCE69" w14:textId="57CC03D3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96 </w:t>
            </w:r>
          </w:p>
        </w:tc>
        <w:tc>
          <w:tcPr>
            <w:tcW w:w="2841" w:type="dxa"/>
          </w:tcPr>
          <w:p w14:paraId="13D78B4E" w14:textId="1B8E978C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>94</w:t>
            </w:r>
          </w:p>
        </w:tc>
      </w:tr>
      <w:tr w:rsidR="001D314C" w14:paraId="0DFA1F11" w14:textId="77777777" w:rsidTr="001D314C">
        <w:tc>
          <w:tcPr>
            <w:tcW w:w="2840" w:type="dxa"/>
          </w:tcPr>
          <w:p w14:paraId="00B127E8" w14:textId="5D6B6C63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 xml:space="preserve">Pentobarbital </w:t>
            </w:r>
          </w:p>
        </w:tc>
        <w:tc>
          <w:tcPr>
            <w:tcW w:w="2841" w:type="dxa"/>
          </w:tcPr>
          <w:p w14:paraId="2754962C" w14:textId="16B46BEE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66 </w:t>
            </w:r>
          </w:p>
        </w:tc>
        <w:tc>
          <w:tcPr>
            <w:tcW w:w="2841" w:type="dxa"/>
          </w:tcPr>
          <w:p w14:paraId="7311D3E0" w14:textId="26704A34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>59</w:t>
            </w:r>
          </w:p>
        </w:tc>
      </w:tr>
      <w:tr w:rsidR="001D314C" w14:paraId="66E40EC3" w14:textId="77777777" w:rsidTr="001D314C">
        <w:tc>
          <w:tcPr>
            <w:tcW w:w="2840" w:type="dxa"/>
          </w:tcPr>
          <w:p w14:paraId="4F869396" w14:textId="7D29F8EA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 xml:space="preserve">Phenytoin </w:t>
            </w:r>
          </w:p>
        </w:tc>
        <w:tc>
          <w:tcPr>
            <w:tcW w:w="2841" w:type="dxa"/>
          </w:tcPr>
          <w:p w14:paraId="78D8B51C" w14:textId="1391B7C2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 xml:space="preserve">88–93 </w:t>
            </w:r>
          </w:p>
        </w:tc>
        <w:tc>
          <w:tcPr>
            <w:tcW w:w="2841" w:type="dxa"/>
          </w:tcPr>
          <w:p w14:paraId="2CA8E849" w14:textId="58433C61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>74–84</w:t>
            </w:r>
          </w:p>
        </w:tc>
      </w:tr>
      <w:tr w:rsidR="001D314C" w14:paraId="035FA6A6" w14:textId="77777777" w:rsidTr="001D314C">
        <w:tc>
          <w:tcPr>
            <w:tcW w:w="2840" w:type="dxa"/>
          </w:tcPr>
          <w:p w14:paraId="3F41EE19" w14:textId="3CDB751F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Salicylate </w:t>
            </w:r>
          </w:p>
        </w:tc>
        <w:tc>
          <w:tcPr>
            <w:tcW w:w="2841" w:type="dxa"/>
          </w:tcPr>
          <w:p w14:paraId="5F57F8AA" w14:textId="228B3065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 xml:space="preserve">87–97 </w:t>
            </w:r>
          </w:p>
        </w:tc>
        <w:tc>
          <w:tcPr>
            <w:tcW w:w="2841" w:type="dxa"/>
          </w:tcPr>
          <w:p w14:paraId="4CEB8BD1" w14:textId="50CC559A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>74–84</w:t>
            </w:r>
          </w:p>
        </w:tc>
      </w:tr>
      <w:tr w:rsidR="001D314C" w14:paraId="4C1D84B6" w14:textId="77777777" w:rsidTr="001D314C">
        <w:tc>
          <w:tcPr>
            <w:tcW w:w="2840" w:type="dxa"/>
          </w:tcPr>
          <w:p w14:paraId="0D154F6C" w14:textId="49FCD6A7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 xml:space="preserve">Sulfamethoxazole </w:t>
            </w:r>
          </w:p>
        </w:tc>
        <w:tc>
          <w:tcPr>
            <w:tcW w:w="2841" w:type="dxa"/>
          </w:tcPr>
          <w:p w14:paraId="05949C9B" w14:textId="4BD28957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66 </w:t>
            </w:r>
          </w:p>
        </w:tc>
        <w:tc>
          <w:tcPr>
            <w:tcW w:w="2841" w:type="dxa"/>
          </w:tcPr>
          <w:p w14:paraId="3148ACE4" w14:textId="66EBB242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</w:tr>
      <w:tr w:rsidR="001D314C" w14:paraId="477D5A6D" w14:textId="77777777" w:rsidTr="001D314C">
        <w:tc>
          <w:tcPr>
            <w:tcW w:w="2840" w:type="dxa"/>
          </w:tcPr>
          <w:p w14:paraId="7BFC9560" w14:textId="7B227E24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 xml:space="preserve">Valproic acid </w:t>
            </w:r>
          </w:p>
        </w:tc>
        <w:tc>
          <w:tcPr>
            <w:tcW w:w="2841" w:type="dxa"/>
          </w:tcPr>
          <w:p w14:paraId="23FB8401" w14:textId="530CE72E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 xml:space="preserve">92 </w:t>
            </w:r>
          </w:p>
        </w:tc>
        <w:tc>
          <w:tcPr>
            <w:tcW w:w="2841" w:type="dxa"/>
          </w:tcPr>
          <w:p w14:paraId="0303E538" w14:textId="6C7EF55A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>77</w:t>
            </w:r>
          </w:p>
        </w:tc>
      </w:tr>
      <w:tr w:rsidR="001D314C" w14:paraId="25B5EDD7" w14:textId="77777777" w:rsidTr="001D314C">
        <w:tc>
          <w:tcPr>
            <w:tcW w:w="2840" w:type="dxa"/>
          </w:tcPr>
          <w:p w14:paraId="6D3FF04A" w14:textId="754E280E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 xml:space="preserve">Warfarin </w:t>
            </w:r>
          </w:p>
        </w:tc>
        <w:tc>
          <w:tcPr>
            <w:tcW w:w="2841" w:type="dxa"/>
          </w:tcPr>
          <w:p w14:paraId="48F230AE" w14:textId="71792999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99 </w:t>
            </w:r>
          </w:p>
        </w:tc>
        <w:tc>
          <w:tcPr>
            <w:tcW w:w="2841" w:type="dxa"/>
          </w:tcPr>
          <w:p w14:paraId="0E426F56" w14:textId="503DC36C" w:rsidR="001D314C" w:rsidRPr="001D314C" w:rsidRDefault="001D314C" w:rsidP="001D314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314C">
              <w:rPr>
                <w:rFonts w:asciiTheme="majorBidi" w:hAnsiTheme="majorBidi" w:cstheme="majorBidi"/>
                <w:sz w:val="28"/>
                <w:szCs w:val="28"/>
              </w:rPr>
              <w:t>98</w:t>
            </w:r>
          </w:p>
        </w:tc>
      </w:tr>
    </w:tbl>
    <w:p w14:paraId="66E1E0F9" w14:textId="5FC4616A" w:rsidR="001D314C" w:rsidRDefault="001D314C" w:rsidP="001D31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AB57406" w14:textId="3B52F74C" w:rsidR="00B9632D" w:rsidRDefault="00527626" w:rsidP="00B9632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2762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BDF16F1" wp14:editId="61A05AB3">
            <wp:extent cx="4396154" cy="3534580"/>
            <wp:effectExtent l="0" t="0" r="444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720" cy="354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01D75" w14:textId="68DCCCFA" w:rsidR="003E665B" w:rsidRPr="003E665B" w:rsidRDefault="00B9632D" w:rsidP="001D31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Figure </w:t>
      </w:r>
      <w:r w:rsidR="001D314C">
        <w:rPr>
          <w:rFonts w:asciiTheme="majorBidi" w:hAnsiTheme="majorBidi" w:cstheme="majorBidi"/>
          <w:b/>
          <w:bCs/>
          <w:sz w:val="28"/>
          <w:szCs w:val="28"/>
        </w:rPr>
        <w:t>9</w:t>
      </w:r>
      <w:r w:rsidR="003E665B" w:rsidRPr="003E665B"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2A156A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1D314C" w:rsidRPr="001D314C">
        <w:rPr>
          <w:rFonts w:asciiTheme="majorBidi" w:hAnsiTheme="majorBidi" w:cstheme="majorBidi"/>
          <w:b/>
          <w:bCs/>
          <w:sz w:val="28"/>
          <w:szCs w:val="28"/>
        </w:rPr>
        <w:t>Plasma phenytoin concentrations in uremic (</w:t>
      </w:r>
      <w:r w:rsidR="001D314C">
        <w:rPr>
          <w:rFonts w:asciiTheme="majorBidi" w:hAnsiTheme="majorBidi" w:cstheme="majorBidi"/>
          <w:b/>
          <w:bCs/>
          <w:sz w:val="28"/>
          <w:szCs w:val="28"/>
        </w:rPr>
        <w:t>○</w:t>
      </w:r>
      <w:r w:rsidR="001D314C" w:rsidRPr="001D314C">
        <w:rPr>
          <w:rFonts w:asciiTheme="majorBidi" w:hAnsiTheme="majorBidi" w:cstheme="majorBidi"/>
          <w:b/>
          <w:bCs/>
          <w:sz w:val="28"/>
          <w:szCs w:val="28"/>
        </w:rPr>
        <w:t>) and</w:t>
      </w:r>
      <w:r w:rsidR="001D314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D314C" w:rsidRPr="001D314C">
        <w:rPr>
          <w:rFonts w:asciiTheme="majorBidi" w:hAnsiTheme="majorBidi" w:cstheme="majorBidi"/>
          <w:b/>
          <w:bCs/>
          <w:sz w:val="28"/>
          <w:szCs w:val="28"/>
        </w:rPr>
        <w:t>nonuremic (</w:t>
      </w:r>
      <w:r w:rsidR="001D314C">
        <w:rPr>
          <w:rFonts w:asciiTheme="majorBidi" w:hAnsiTheme="majorBidi" w:cstheme="majorBidi"/>
          <w:b/>
          <w:bCs/>
          <w:sz w:val="28"/>
          <w:szCs w:val="28"/>
        </w:rPr>
        <w:t>●</w:t>
      </w:r>
      <w:r w:rsidR="001D314C" w:rsidRPr="001D314C">
        <w:rPr>
          <w:rFonts w:asciiTheme="majorBidi" w:hAnsiTheme="majorBidi" w:cstheme="majorBidi"/>
          <w:b/>
          <w:bCs/>
          <w:sz w:val="28"/>
          <w:szCs w:val="28"/>
        </w:rPr>
        <w:t>) patients after 250 m</w:t>
      </w:r>
      <w:r w:rsidR="001D314C">
        <w:rPr>
          <w:rFonts w:asciiTheme="majorBidi" w:hAnsiTheme="majorBidi" w:cstheme="majorBidi"/>
          <w:b/>
          <w:bCs/>
          <w:sz w:val="28"/>
          <w:szCs w:val="28"/>
        </w:rPr>
        <w:t>g of intravenous (IV) phenytoin</w:t>
      </w:r>
      <w:r w:rsidR="003E665B" w:rsidRPr="003E665B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0B88C3A8" w14:textId="77777777" w:rsidR="00637B24" w:rsidRDefault="00637B24" w:rsidP="00A46ED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1FCA964" w14:textId="3FE63F36" w:rsidR="00756AA1" w:rsidRDefault="00527626" w:rsidP="0052762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27626">
        <w:rPr>
          <w:rFonts w:asciiTheme="majorBidi" w:hAnsiTheme="majorBidi" w:cstheme="majorBidi"/>
          <w:sz w:val="28"/>
          <w:szCs w:val="28"/>
        </w:rPr>
        <w:t>The following equation should be used to correct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27626">
        <w:rPr>
          <w:rFonts w:asciiTheme="majorBidi" w:hAnsiTheme="majorBidi" w:cstheme="majorBidi"/>
          <w:sz w:val="28"/>
          <w:szCs w:val="28"/>
        </w:rPr>
        <w:t>R.S.’s altered binding owing to his renal dysfunction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27626">
        <w:rPr>
          <w:rFonts w:asciiTheme="majorBidi" w:hAnsiTheme="majorBidi" w:cstheme="majorBidi"/>
          <w:sz w:val="28"/>
          <w:szCs w:val="28"/>
        </w:rPr>
        <w:t>hypoalbuminemia</w:t>
      </w:r>
      <w:r>
        <w:rPr>
          <w:rFonts w:asciiTheme="majorBidi" w:hAnsiTheme="majorBidi" w:cstheme="majorBidi"/>
          <w:sz w:val="28"/>
          <w:szCs w:val="28"/>
        </w:rPr>
        <w:t>:</w:t>
      </w:r>
    </w:p>
    <w:p w14:paraId="02A5A1E7" w14:textId="2B29FF77" w:rsidR="008744C6" w:rsidRPr="00527626" w:rsidRDefault="00527626" w:rsidP="0052762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CpNormal Binding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Cambria Math"/>
                  <w:sz w:val="28"/>
                  <w:szCs w:val="28"/>
                </w:rPr>
                <m:t>Cp'</m:t>
              </m:r>
            </m:num>
            <m:den>
              <m:d>
                <m:dPr>
                  <m:ctrlPr>
                    <w:rPr>
                      <w:rFonts w:ascii="Cambria Math" w:eastAsia="Calibri" w:hAnsi="Cambria Math" w:cs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Cambria Math"/>
                      <w:sz w:val="28"/>
                      <w:szCs w:val="28"/>
                    </w:rPr>
                    <m:t>0.48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Cambria Math"/>
                      <w:sz w:val="28"/>
                      <w:szCs w:val="28"/>
                    </w:rPr>
                    <m:t>1-α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Cambria Math"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Calibri" w:hAnsi="Cambria Math" w:cs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Cambria Math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Cambria Math"/>
                          <w:sz w:val="28"/>
                          <w:szCs w:val="28"/>
                        </w:rPr>
                        <m:t>PNL</m:t>
                      </m:r>
                    </m:den>
                  </m:f>
                </m:e>
              </m:d>
              <m:r>
                <w:rPr>
                  <w:rFonts w:ascii="Cambria Math" w:eastAsia="Calibri" w:hAnsi="Cambria Math" w:cs="Cambria Math"/>
                  <w:sz w:val="28"/>
                  <w:szCs w:val="28"/>
                </w:rPr>
                <m:t>+ α</m:t>
              </m:r>
            </m:den>
          </m:f>
        </m:oMath>
      </m:oMathPara>
    </w:p>
    <w:p w14:paraId="1A9320C5" w14:textId="7ACD0316" w:rsidR="00527626" w:rsidRDefault="00527626" w:rsidP="00B622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27626">
        <w:rPr>
          <w:rFonts w:asciiTheme="majorBidi" w:hAnsiTheme="majorBidi" w:cstheme="majorBidi"/>
          <w:sz w:val="28"/>
          <w:szCs w:val="28"/>
        </w:rPr>
        <w:t>where Cp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'</m:t>
        </m:r>
      </m:oMath>
      <w:r w:rsidRPr="00527626">
        <w:rPr>
          <w:rFonts w:asciiTheme="majorBidi" w:hAnsiTheme="majorBidi" w:cstheme="majorBidi"/>
          <w:sz w:val="28"/>
          <w:szCs w:val="28"/>
        </w:rPr>
        <w:t xml:space="preserve"> is the measured plasma concentration reported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27626">
        <w:rPr>
          <w:rFonts w:asciiTheme="majorBidi" w:hAnsiTheme="majorBidi" w:cstheme="majorBidi"/>
          <w:sz w:val="28"/>
          <w:szCs w:val="28"/>
        </w:rPr>
        <w:t>the laboratory, and Cp</w:t>
      </w:r>
      <w:r w:rsidRPr="00527626">
        <w:rPr>
          <w:rFonts w:asciiTheme="majorBidi" w:hAnsiTheme="majorBidi" w:cstheme="majorBidi"/>
          <w:sz w:val="28"/>
          <w:szCs w:val="28"/>
          <w:vertAlign w:val="subscript"/>
        </w:rPr>
        <w:t xml:space="preserve">Normal Binding </w:t>
      </w:r>
      <w:r w:rsidRPr="00527626">
        <w:rPr>
          <w:rFonts w:asciiTheme="majorBidi" w:hAnsiTheme="majorBidi" w:cstheme="majorBidi"/>
          <w:sz w:val="28"/>
          <w:szCs w:val="28"/>
        </w:rPr>
        <w:t>is the corrected plasma concentration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27626">
        <w:rPr>
          <w:rFonts w:asciiTheme="majorBidi" w:hAnsiTheme="majorBidi" w:cstheme="majorBidi"/>
          <w:sz w:val="28"/>
          <w:szCs w:val="28"/>
        </w:rPr>
        <w:t>that would be seen if the patient had normal renal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27626">
        <w:rPr>
          <w:rFonts w:asciiTheme="majorBidi" w:hAnsiTheme="majorBidi" w:cstheme="majorBidi"/>
          <w:sz w:val="28"/>
          <w:szCs w:val="28"/>
        </w:rPr>
        <w:t>function and normal albumin. Alpha (</w:t>
      </w:r>
      <w:r w:rsidRPr="00527626">
        <w:rPr>
          <w:rFonts w:asciiTheme="majorBidi" w:hAnsiTheme="majorBidi" w:cstheme="majorBidi"/>
          <w:i/>
          <w:iCs/>
          <w:sz w:val="28"/>
          <w:szCs w:val="28"/>
        </w:rPr>
        <w:t>α</w:t>
      </w:r>
      <w:r w:rsidRPr="00527626">
        <w:rPr>
          <w:rFonts w:asciiTheme="majorBidi" w:hAnsiTheme="majorBidi" w:cstheme="majorBidi"/>
          <w:sz w:val="28"/>
          <w:szCs w:val="28"/>
        </w:rPr>
        <w:t>) is the normal free fraction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27626">
        <w:rPr>
          <w:rFonts w:asciiTheme="majorBidi" w:hAnsiTheme="majorBidi" w:cstheme="majorBidi"/>
          <w:sz w:val="28"/>
          <w:szCs w:val="28"/>
        </w:rPr>
        <w:t>(0.1), P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'</m:t>
        </m:r>
      </m:oMath>
      <w:r w:rsidRPr="00527626">
        <w:rPr>
          <w:rFonts w:asciiTheme="majorBidi" w:hAnsiTheme="majorBidi" w:cstheme="majorBidi"/>
          <w:sz w:val="28"/>
          <w:szCs w:val="28"/>
        </w:rPr>
        <w:t xml:space="preserve"> is the patient’s serum albumin, and P</w:t>
      </w:r>
      <w:r w:rsidRPr="00B6227B">
        <w:rPr>
          <w:rFonts w:asciiTheme="majorBidi" w:hAnsiTheme="majorBidi" w:cstheme="majorBidi"/>
          <w:sz w:val="28"/>
          <w:szCs w:val="28"/>
          <w:vertAlign w:val="subscript"/>
        </w:rPr>
        <w:t>NL</w:t>
      </w:r>
      <w:r w:rsidRPr="00527626">
        <w:rPr>
          <w:rFonts w:asciiTheme="majorBidi" w:hAnsiTheme="majorBidi" w:cstheme="majorBidi"/>
          <w:sz w:val="28"/>
          <w:szCs w:val="28"/>
        </w:rPr>
        <w:t xml:space="preserve"> is normal</w:t>
      </w:r>
      <w:r w:rsidR="00B6227B">
        <w:rPr>
          <w:rFonts w:asciiTheme="majorBidi" w:hAnsiTheme="majorBidi" w:cstheme="majorBidi"/>
          <w:sz w:val="28"/>
          <w:szCs w:val="28"/>
        </w:rPr>
        <w:t xml:space="preserve"> </w:t>
      </w:r>
      <w:r w:rsidRPr="00527626">
        <w:rPr>
          <w:rFonts w:asciiTheme="majorBidi" w:hAnsiTheme="majorBidi" w:cstheme="majorBidi"/>
          <w:sz w:val="28"/>
          <w:szCs w:val="28"/>
        </w:rPr>
        <w:t>albumin (4.4 g/dL). The factor 0.48 was derived from patients on</w:t>
      </w:r>
      <w:r w:rsidR="00B6227B">
        <w:rPr>
          <w:rFonts w:asciiTheme="majorBidi" w:hAnsiTheme="majorBidi" w:cstheme="majorBidi"/>
          <w:sz w:val="28"/>
          <w:szCs w:val="28"/>
        </w:rPr>
        <w:t xml:space="preserve"> </w:t>
      </w:r>
      <w:r w:rsidRPr="00527626">
        <w:rPr>
          <w:rFonts w:asciiTheme="majorBidi" w:hAnsiTheme="majorBidi" w:cstheme="majorBidi"/>
          <w:sz w:val="28"/>
          <w:szCs w:val="28"/>
        </w:rPr>
        <w:t>hemodialysis and represents the decreased affinity of phenytoin</w:t>
      </w:r>
      <w:r w:rsidR="00B6227B">
        <w:rPr>
          <w:rFonts w:asciiTheme="majorBidi" w:hAnsiTheme="majorBidi" w:cstheme="majorBidi"/>
          <w:sz w:val="28"/>
          <w:szCs w:val="28"/>
        </w:rPr>
        <w:t xml:space="preserve"> </w:t>
      </w:r>
      <w:r w:rsidRPr="00527626">
        <w:rPr>
          <w:rFonts w:asciiTheme="majorBidi" w:hAnsiTheme="majorBidi" w:cstheme="majorBidi"/>
          <w:sz w:val="28"/>
          <w:szCs w:val="28"/>
        </w:rPr>
        <w:t>for albumin.</w:t>
      </w:r>
    </w:p>
    <w:p w14:paraId="42840706" w14:textId="49BF47C6" w:rsidR="00B6227B" w:rsidRDefault="00B6227B" w:rsidP="00B622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6227B">
        <w:rPr>
          <w:rFonts w:asciiTheme="majorBidi" w:hAnsiTheme="majorBidi" w:cstheme="majorBidi"/>
          <w:sz w:val="28"/>
          <w:szCs w:val="28"/>
        </w:rPr>
        <w:t>For R.S., a total plasma phenytoin concentration of 5 mg/L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227B">
        <w:rPr>
          <w:rFonts w:asciiTheme="majorBidi" w:hAnsiTheme="majorBidi" w:cstheme="majorBidi"/>
          <w:sz w:val="28"/>
          <w:szCs w:val="28"/>
        </w:rPr>
        <w:t>comparable to 13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227B">
        <w:rPr>
          <w:rFonts w:asciiTheme="majorBidi" w:hAnsiTheme="majorBidi" w:cstheme="majorBidi"/>
          <w:sz w:val="28"/>
          <w:szCs w:val="28"/>
        </w:rPr>
        <w:t>mg/L in a patient without renal failure. Because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227B">
        <w:rPr>
          <w:rFonts w:asciiTheme="majorBidi" w:hAnsiTheme="majorBidi" w:cstheme="majorBidi"/>
          <w:sz w:val="28"/>
          <w:szCs w:val="28"/>
        </w:rPr>
        <w:t>this falls within the phenytoin’s therapeutic range of 10 to 20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227B">
        <w:rPr>
          <w:rFonts w:asciiTheme="majorBidi" w:hAnsiTheme="majorBidi" w:cstheme="majorBidi"/>
          <w:sz w:val="28"/>
          <w:szCs w:val="28"/>
        </w:rPr>
        <w:t>mg/L, his measured level is not subtherapeutic.</w:t>
      </w:r>
    </w:p>
    <w:p w14:paraId="19FD9614" w14:textId="1D8D1E3D" w:rsidR="00756AA1" w:rsidRDefault="00B6227B" w:rsidP="00B622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6227B">
        <w:rPr>
          <w:rFonts w:asciiTheme="majorBidi" w:hAnsiTheme="majorBidi" w:cstheme="majorBidi"/>
          <w:sz w:val="28"/>
          <w:szCs w:val="28"/>
        </w:rPr>
        <w:lastRenderedPageBreak/>
        <w:t>The factor 0.48 should be used only to estimate changes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227B">
        <w:rPr>
          <w:rFonts w:asciiTheme="majorBidi" w:hAnsiTheme="majorBidi" w:cstheme="majorBidi"/>
          <w:sz w:val="28"/>
          <w:szCs w:val="28"/>
        </w:rPr>
        <w:t>protein binding for patients with ESRD receiving hemodialysis.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227B">
        <w:rPr>
          <w:rFonts w:asciiTheme="majorBidi" w:hAnsiTheme="majorBidi" w:cstheme="majorBidi"/>
          <w:sz w:val="28"/>
          <w:szCs w:val="28"/>
        </w:rPr>
        <w:t>Data for patients with moderate renal disease are limited,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227B">
        <w:rPr>
          <w:rFonts w:asciiTheme="majorBidi" w:hAnsiTheme="majorBidi" w:cstheme="majorBidi"/>
          <w:sz w:val="28"/>
          <w:szCs w:val="28"/>
        </w:rPr>
        <w:t>it is unclear what changes exist in the binding of phenytoin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227B">
        <w:rPr>
          <w:rFonts w:asciiTheme="majorBidi" w:hAnsiTheme="majorBidi" w:cstheme="majorBidi"/>
          <w:sz w:val="28"/>
          <w:szCs w:val="28"/>
        </w:rPr>
        <w:t>albumin. For patients with normal or moderate renal impairment,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227B">
        <w:rPr>
          <w:rFonts w:asciiTheme="majorBidi" w:hAnsiTheme="majorBidi" w:cstheme="majorBidi"/>
          <w:sz w:val="28"/>
          <w:szCs w:val="28"/>
        </w:rPr>
        <w:t>the following equation should be used only if the serum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6227B">
        <w:rPr>
          <w:rFonts w:asciiTheme="majorBidi" w:hAnsiTheme="majorBidi" w:cstheme="majorBidi"/>
          <w:sz w:val="28"/>
          <w:szCs w:val="28"/>
        </w:rPr>
        <w:t>albumin is low; the factor 0.48 should be omitted:</w:t>
      </w:r>
      <w:r w:rsidR="008744C6">
        <w:rPr>
          <w:rFonts w:asciiTheme="majorBidi" w:hAnsiTheme="majorBidi" w:cstheme="majorBidi"/>
          <w:sz w:val="28"/>
          <w:szCs w:val="28"/>
        </w:rPr>
        <w:t xml:space="preserve"> </w:t>
      </w:r>
    </w:p>
    <w:p w14:paraId="0CB9FA30" w14:textId="5E7ADAF7" w:rsidR="008744C6" w:rsidRPr="008744C6" w:rsidRDefault="00B6227B" w:rsidP="00B6227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CpNormal Binding</m:t>
        </m:r>
        <m:r>
          <w:rPr>
            <w:rFonts w:ascii="Cambria Math" w:hAnsi="Cambria Math" w:cstheme="majorBidi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Cp'</m:t>
            </m:r>
          </m:num>
          <m:den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1-α</m:t>
                </m:r>
              </m:e>
            </m:d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PNL</m:t>
                    </m:r>
                  </m:den>
                </m:f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+ α</m:t>
            </m:r>
          </m:den>
        </m:f>
      </m:oMath>
      <w:r w:rsidR="008744C6">
        <w:rPr>
          <w:rFonts w:asciiTheme="majorBidi" w:hAnsiTheme="majorBidi" w:cstheme="majorBidi"/>
          <w:sz w:val="28"/>
          <w:szCs w:val="28"/>
        </w:rPr>
        <w:t xml:space="preserve">  </w:t>
      </w:r>
    </w:p>
    <w:p w14:paraId="1B082158" w14:textId="77777777" w:rsidR="00264D71" w:rsidRDefault="00264D71" w:rsidP="008744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163AC50" w14:textId="54222FE5" w:rsidR="00264D71" w:rsidRDefault="00264D71" w:rsidP="00264D7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Effect of Renal Failure on Metabolized Drugs</w:t>
      </w:r>
    </w:p>
    <w:p w14:paraId="67D62126" w14:textId="5361AFC3" w:rsidR="00264D71" w:rsidRPr="00264D71" w:rsidRDefault="00264D71" w:rsidP="00264D7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Procainamide</w:t>
      </w:r>
    </w:p>
    <w:p w14:paraId="6A4E17B0" w14:textId="4D881475" w:rsidR="00264D71" w:rsidRDefault="00264D71" w:rsidP="00264D7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64D71">
        <w:rPr>
          <w:rFonts w:asciiTheme="majorBidi" w:hAnsiTheme="majorBidi" w:cstheme="majorBidi"/>
          <w:sz w:val="28"/>
          <w:szCs w:val="28"/>
        </w:rPr>
        <w:t>F.G.’s procainamide level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 xml:space="preserve">9 mg/L (normal, 4–8 mg/L) and her </w:t>
      </w:r>
      <w:r w:rsidRPr="00264D71">
        <w:rPr>
          <w:rFonts w:asciiTheme="majorBidi" w:hAnsiTheme="majorBidi" w:cstheme="majorBidi"/>
          <w:i/>
          <w:iCs/>
          <w:sz w:val="28"/>
          <w:szCs w:val="28"/>
        </w:rPr>
        <w:t>N-</w:t>
      </w:r>
      <w:r w:rsidRPr="00264D71">
        <w:rPr>
          <w:rFonts w:asciiTheme="majorBidi" w:hAnsiTheme="majorBidi" w:cstheme="majorBidi"/>
          <w:sz w:val="28"/>
          <w:szCs w:val="28"/>
        </w:rPr>
        <w:t>acetylprocainamide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(NAPA) level is 34 mg/L (normal, 10–20 mg/L). How is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disposition of procainamide affected in patients with renal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disease?</w:t>
      </w:r>
    </w:p>
    <w:p w14:paraId="5AD36713" w14:textId="77777777" w:rsidR="00264D71" w:rsidRDefault="00264D71" w:rsidP="00264D7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83EDEB0" w14:textId="3DA5AACB" w:rsidR="00264D71" w:rsidRPr="00264D71" w:rsidRDefault="00264D71" w:rsidP="00264D7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64D71">
        <w:rPr>
          <w:rFonts w:asciiTheme="majorBidi" w:hAnsiTheme="majorBidi" w:cstheme="majorBidi"/>
          <w:sz w:val="28"/>
          <w:szCs w:val="28"/>
        </w:rPr>
        <w:t>The pharmacokinetics of procainamide in patients with renal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insufficiency is complex. Of the parent drug, 50% to 70%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excreted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unchanged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in the urine,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it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accumulate in patients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with renal disease because plasma clearance values are reduced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by as much as 70%. Procainamide is also partially acetylated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to NAPA, which has antiarrhythmic properties similar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procainamide and is primarily excreted by the kidneys.</w:t>
      </w:r>
    </w:p>
    <w:p w14:paraId="51A5856B" w14:textId="642D3B91" w:rsidR="00264D71" w:rsidRDefault="00264D71" w:rsidP="00264D7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64D71">
        <w:rPr>
          <w:rFonts w:asciiTheme="majorBidi" w:hAnsiTheme="majorBidi" w:cstheme="majorBidi"/>
          <w:sz w:val="28"/>
          <w:szCs w:val="28"/>
        </w:rPr>
        <w:t xml:space="preserve">Figure </w:t>
      </w:r>
      <w:r>
        <w:rPr>
          <w:rFonts w:asciiTheme="majorBidi" w:hAnsiTheme="majorBidi" w:cstheme="majorBidi"/>
          <w:sz w:val="28"/>
          <w:szCs w:val="28"/>
        </w:rPr>
        <w:t>9-2</w:t>
      </w:r>
      <w:r w:rsidRPr="00264D71">
        <w:rPr>
          <w:rFonts w:asciiTheme="majorBidi" w:hAnsiTheme="majorBidi" w:cstheme="majorBidi"/>
          <w:sz w:val="28"/>
          <w:szCs w:val="28"/>
        </w:rPr>
        <w:t xml:space="preserve"> summarizes the elimination of procainamide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NAPA. The half-life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NAPA is longer, especially in patients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renal impairment, increasing from 6 hours in control subjects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as long as 40 hours in patients with ESRD. Because significant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cardiac toxicity has occurred in some patients with NAPA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levels greater than 30 mg/L, plasma level monitoring of both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NAPA and procainamide is recommended. When procainamide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is used in patients with renal failure, appropriate dosage reduction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of procainamide may be necessary. It also is important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realize that the time required to reach steady state for NAPA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patients with renal failure may be as long as 5 days. Therefore,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plasma levels measured early in therapy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must be interpreted carefully,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because these concentrations may be considerably lower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sz w:val="28"/>
          <w:szCs w:val="28"/>
        </w:rPr>
        <w:t>than those that will be achieved under steady-state conditions.</w:t>
      </w:r>
    </w:p>
    <w:p w14:paraId="1986EE5F" w14:textId="740AB90E" w:rsidR="00F61100" w:rsidRDefault="00F61100" w:rsidP="00F61100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A6A4E96" w14:textId="6D234DAB" w:rsidR="00264D71" w:rsidRDefault="00264D71" w:rsidP="00264D71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64D71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28FC9683" wp14:editId="08FA7067">
            <wp:extent cx="3165231" cy="279140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113" cy="27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F48A6" w14:textId="6C117036" w:rsidR="00264D71" w:rsidRPr="00264D71" w:rsidRDefault="00264D71" w:rsidP="00264D71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64D71">
        <w:rPr>
          <w:rFonts w:asciiTheme="majorBidi" w:hAnsiTheme="majorBidi" w:cstheme="majorBidi"/>
          <w:b/>
          <w:bCs/>
          <w:sz w:val="28"/>
          <w:szCs w:val="28"/>
        </w:rPr>
        <w:t>Figure 9-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264D71">
        <w:rPr>
          <w:rFonts w:asciiTheme="majorBidi" w:hAnsiTheme="majorBidi" w:cstheme="majorBidi"/>
          <w:b/>
          <w:bCs/>
          <w:sz w:val="28"/>
          <w:szCs w:val="28"/>
        </w:rPr>
        <w:t>: Elimination of procainamide (PA) and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64D71">
        <w:rPr>
          <w:rFonts w:asciiTheme="majorBidi" w:hAnsiTheme="majorBidi" w:cstheme="majorBidi"/>
          <w:b/>
          <w:bCs/>
          <w:i/>
          <w:iCs/>
          <w:sz w:val="28"/>
          <w:szCs w:val="28"/>
        </w:rPr>
        <w:t>N-</w:t>
      </w:r>
      <w:r w:rsidRPr="00264D71">
        <w:rPr>
          <w:rFonts w:asciiTheme="majorBidi" w:hAnsiTheme="majorBidi" w:cstheme="majorBidi"/>
          <w:b/>
          <w:bCs/>
          <w:sz w:val="28"/>
          <w:szCs w:val="28"/>
        </w:rPr>
        <w:t>acetylprocainamide (NAPA) in subjects with normal renal and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liver function</w:t>
      </w:r>
      <w:r w:rsidRPr="00264D7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178240AA" w14:textId="77777777" w:rsidR="00264D71" w:rsidRDefault="00264D71" w:rsidP="00264D71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152D8855" w14:textId="184C42DC" w:rsidR="00212D41" w:rsidRPr="00212D41" w:rsidRDefault="00212D41" w:rsidP="00212D4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212D41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Dose Adjustments and Precautions in Decreased Kidney Function </w:t>
      </w:r>
    </w:p>
    <w:p w14:paraId="3B52DCDA" w14:textId="5310501E" w:rsidR="00212D41" w:rsidRPr="005703FC" w:rsidRDefault="00212D41" w:rsidP="005703F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E4A28">
        <w:rPr>
          <w:rFonts w:asciiTheme="majorBidi" w:hAnsiTheme="majorBidi" w:cstheme="majorBidi"/>
          <w:b/>
          <w:bCs/>
          <w:sz w:val="28"/>
          <w:szCs w:val="28"/>
        </w:rPr>
        <w:t xml:space="preserve">Table </w:t>
      </w:r>
      <w:r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CE4A28"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CE4A28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212D41">
        <w:rPr>
          <w:rFonts w:asciiTheme="majorBidi" w:hAnsiTheme="majorBidi" w:cstheme="majorBidi"/>
          <w:b/>
          <w:bCs/>
          <w:sz w:val="28"/>
          <w:szCs w:val="28"/>
        </w:rPr>
        <w:t>Dose Adjustments and Precautions in Decreased Kidney Function.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6074"/>
      </w:tblGrid>
      <w:tr w:rsidR="00212D41" w:rsidRPr="005703FC" w14:paraId="06C176D6" w14:textId="77777777" w:rsidTr="005703FC">
        <w:tc>
          <w:tcPr>
            <w:tcW w:w="2448" w:type="dxa"/>
          </w:tcPr>
          <w:p w14:paraId="18B53490" w14:textId="76F70163" w:rsidR="00212D41" w:rsidRPr="005703FC" w:rsidRDefault="00212D41" w:rsidP="00212D4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703FC">
              <w:rPr>
                <w:rFonts w:ascii="Times New Roman" w:hAnsi="Times New Roman" w:cs="Times New Roman"/>
                <w:sz w:val="24"/>
                <w:szCs w:val="24"/>
              </w:rPr>
              <w:t xml:space="preserve">Drug Class </w:t>
            </w:r>
          </w:p>
        </w:tc>
        <w:tc>
          <w:tcPr>
            <w:tcW w:w="6074" w:type="dxa"/>
          </w:tcPr>
          <w:p w14:paraId="7AAE2B56" w14:textId="7CFD1E8F" w:rsidR="00212D41" w:rsidRPr="005703FC" w:rsidRDefault="00212D41" w:rsidP="00212D4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>Agents Requiring Dose Adjustment</w:t>
            </w:r>
          </w:p>
        </w:tc>
      </w:tr>
      <w:tr w:rsidR="00212D41" w:rsidRPr="005703FC" w14:paraId="029F4867" w14:textId="77777777" w:rsidTr="005703FC">
        <w:trPr>
          <w:trHeight w:val="908"/>
        </w:trPr>
        <w:tc>
          <w:tcPr>
            <w:tcW w:w="2448" w:type="dxa"/>
          </w:tcPr>
          <w:p w14:paraId="46F89522" w14:textId="158A4DDC" w:rsidR="00212D41" w:rsidRPr="005703FC" w:rsidRDefault="00212D41" w:rsidP="00212D4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 xml:space="preserve">Antibiotics </w:t>
            </w:r>
          </w:p>
        </w:tc>
        <w:tc>
          <w:tcPr>
            <w:tcW w:w="6074" w:type="dxa"/>
          </w:tcPr>
          <w:p w14:paraId="497E0554" w14:textId="001A2133" w:rsidR="00212D41" w:rsidRPr="005703FC" w:rsidRDefault="00212D41" w:rsidP="00212D4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>Almost all antibiotics require dosage adjustment (exceptions: ceftriaxone, clindamycin, linezolid, metronidazole, macrolides, nafcillin)</w:t>
            </w:r>
            <w:r w:rsidR="005703FC" w:rsidRPr="0057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D41" w:rsidRPr="005703FC" w14:paraId="5F2A80CA" w14:textId="77777777" w:rsidTr="005703FC">
        <w:tc>
          <w:tcPr>
            <w:tcW w:w="2448" w:type="dxa"/>
          </w:tcPr>
          <w:p w14:paraId="2B05D40D" w14:textId="19F9B1A4" w:rsidR="00212D41" w:rsidRPr="005703FC" w:rsidRDefault="00212D41" w:rsidP="00212D4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 xml:space="preserve">Anticoagulants </w:t>
            </w:r>
          </w:p>
        </w:tc>
        <w:tc>
          <w:tcPr>
            <w:tcW w:w="6074" w:type="dxa"/>
          </w:tcPr>
          <w:p w14:paraId="19A4B7C3" w14:textId="05785A11" w:rsidR="00212D41" w:rsidRPr="005703FC" w:rsidRDefault="00212D41" w:rsidP="00212D4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>Anticoagulants Enoxaparin, fondaparinux, apixaban, rivaroxaban, edoxaban, dabigatran</w:t>
            </w:r>
            <w:r w:rsidR="005703FC" w:rsidRPr="0057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D41" w:rsidRPr="005703FC" w14:paraId="27D60D33" w14:textId="77777777" w:rsidTr="005703FC">
        <w:trPr>
          <w:trHeight w:val="593"/>
        </w:trPr>
        <w:tc>
          <w:tcPr>
            <w:tcW w:w="2448" w:type="dxa"/>
          </w:tcPr>
          <w:p w14:paraId="7C9BB420" w14:textId="3F6469B0" w:rsidR="00212D41" w:rsidRPr="005703FC" w:rsidRDefault="00212D41" w:rsidP="00212D4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 xml:space="preserve">Cardiac medications </w:t>
            </w:r>
          </w:p>
        </w:tc>
        <w:tc>
          <w:tcPr>
            <w:tcW w:w="6074" w:type="dxa"/>
          </w:tcPr>
          <w:p w14:paraId="7C5A1B4B" w14:textId="7523E04E" w:rsidR="00212D41" w:rsidRPr="005703FC" w:rsidRDefault="00212D41" w:rsidP="00212D4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>Atenolol, ACEIs, digoxin, nadolol, sotalol; avoid potassium-sparing diuretics if CrCl &lt; 30 mL/min/1.73 m</w:t>
            </w:r>
            <w:r w:rsidRPr="005703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703FC" w:rsidRPr="0057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D41" w:rsidRPr="005703FC" w14:paraId="1B12DDD2" w14:textId="77777777" w:rsidTr="005703FC">
        <w:tc>
          <w:tcPr>
            <w:tcW w:w="2448" w:type="dxa"/>
          </w:tcPr>
          <w:p w14:paraId="1A8B778E" w14:textId="50F83E35" w:rsidR="00212D41" w:rsidRPr="005703FC" w:rsidRDefault="00212D41" w:rsidP="00212D4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 xml:space="preserve">Lipid-lowering therapy </w:t>
            </w:r>
          </w:p>
        </w:tc>
        <w:tc>
          <w:tcPr>
            <w:tcW w:w="6074" w:type="dxa"/>
          </w:tcPr>
          <w:p w14:paraId="737643C5" w14:textId="7C6101A6" w:rsidR="00212D41" w:rsidRPr="005703FC" w:rsidRDefault="00212D41" w:rsidP="00212D4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>Clofibrate, fenofibrate, statins (particularly rosuvastatin)</w:t>
            </w:r>
            <w:r w:rsidR="005703FC" w:rsidRPr="0057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D41" w:rsidRPr="005703FC" w14:paraId="68D7402D" w14:textId="77777777" w:rsidTr="005703FC">
        <w:tc>
          <w:tcPr>
            <w:tcW w:w="2448" w:type="dxa"/>
          </w:tcPr>
          <w:p w14:paraId="3DD48181" w14:textId="54C14FB3" w:rsidR="00212D41" w:rsidRPr="005703FC" w:rsidRDefault="00212D41" w:rsidP="00212D4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 xml:space="preserve">Narcotics </w:t>
            </w:r>
          </w:p>
        </w:tc>
        <w:tc>
          <w:tcPr>
            <w:tcW w:w="6074" w:type="dxa"/>
          </w:tcPr>
          <w:p w14:paraId="1C78FEE4" w14:textId="30892F92" w:rsidR="00212D41" w:rsidRPr="005703FC" w:rsidRDefault="00212D41" w:rsidP="00212D4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>Codeine, use caution with meperidine and morphine; other agents may also accumulate</w:t>
            </w:r>
            <w:r w:rsidR="005703FC" w:rsidRPr="0057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D41" w:rsidRPr="005703FC" w14:paraId="1ACF126A" w14:textId="77777777" w:rsidTr="005703FC">
        <w:tc>
          <w:tcPr>
            <w:tcW w:w="2448" w:type="dxa"/>
          </w:tcPr>
          <w:p w14:paraId="55EC6C8D" w14:textId="77BECE7F" w:rsidR="00212D41" w:rsidRPr="005703FC" w:rsidRDefault="005703FC" w:rsidP="005703F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>Antipsychotic and antiepileptic agents</w:t>
            </w:r>
          </w:p>
        </w:tc>
        <w:tc>
          <w:tcPr>
            <w:tcW w:w="6074" w:type="dxa"/>
          </w:tcPr>
          <w:p w14:paraId="6A0D49A4" w14:textId="19F2CE08" w:rsidR="00212D41" w:rsidRPr="005703FC" w:rsidRDefault="005703FC" w:rsidP="005703F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>Chloral hydrate, gabapentin, lacosamide, levetiracetam, lithium, paroxetine, primidone, topiramate, trazodone, vigabatrin.</w:t>
            </w:r>
          </w:p>
        </w:tc>
      </w:tr>
      <w:tr w:rsidR="00212D41" w:rsidRPr="005703FC" w14:paraId="39727426" w14:textId="77777777" w:rsidTr="005703FC">
        <w:tc>
          <w:tcPr>
            <w:tcW w:w="2448" w:type="dxa"/>
          </w:tcPr>
          <w:p w14:paraId="7399D0EF" w14:textId="702C8585" w:rsidR="00212D41" w:rsidRPr="005703FC" w:rsidRDefault="005703FC" w:rsidP="005703F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>Hypoglycemic agents</w:t>
            </w:r>
          </w:p>
        </w:tc>
        <w:tc>
          <w:tcPr>
            <w:tcW w:w="6074" w:type="dxa"/>
          </w:tcPr>
          <w:p w14:paraId="6EF14860" w14:textId="12D6C228" w:rsidR="00212D41" w:rsidRPr="005703FC" w:rsidRDefault="005703FC" w:rsidP="005703F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>Acarbose, alogliptin, canagliflozin, chlorpropamide, dapagliflozin, exenatide, glyburide, glipizide, insulins, liraglutide, metformin, saxagliptin, sitagliptin.</w:t>
            </w:r>
          </w:p>
        </w:tc>
      </w:tr>
      <w:tr w:rsidR="00212D41" w:rsidRPr="005703FC" w14:paraId="42864485" w14:textId="77777777" w:rsidTr="005703FC">
        <w:tc>
          <w:tcPr>
            <w:tcW w:w="2448" w:type="dxa"/>
          </w:tcPr>
          <w:p w14:paraId="009C1ED7" w14:textId="75C3357A" w:rsidR="00212D41" w:rsidRPr="005703FC" w:rsidRDefault="005703FC" w:rsidP="005703F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>Antiretrovirals</w:t>
            </w:r>
          </w:p>
        </w:tc>
        <w:tc>
          <w:tcPr>
            <w:tcW w:w="6074" w:type="dxa"/>
          </w:tcPr>
          <w:p w14:paraId="0057C752" w14:textId="53E32350" w:rsidR="00212D41" w:rsidRPr="005703FC" w:rsidRDefault="005703FC" w:rsidP="005703FC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>Individualize therapy: Monitor CD4</w:t>
            </w:r>
            <w:r w:rsidRPr="005703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5703FC">
              <w:rPr>
                <w:rFonts w:ascii="Times New Roman" w:hAnsi="Times New Roman" w:cs="Times New Roman"/>
                <w:sz w:val="24"/>
                <w:szCs w:val="24"/>
              </w:rPr>
              <w:t xml:space="preserve"> counts, viral load, and adverse effects (agents requiring dose adjustment: lamivudine, adefovir, emtricitabine, didanosine, stavudine, tenofovir, and zidovudine).</w:t>
            </w:r>
          </w:p>
        </w:tc>
      </w:tr>
      <w:bookmarkEnd w:id="0"/>
    </w:tbl>
    <w:p w14:paraId="17AA4070" w14:textId="64EEAC8C" w:rsidR="00DE2862" w:rsidRPr="00DE2862" w:rsidRDefault="00DE2862" w:rsidP="00DF3BC8">
      <w:pPr>
        <w:tabs>
          <w:tab w:val="left" w:pos="1685"/>
        </w:tabs>
        <w:bidi w:val="0"/>
        <w:spacing w:after="0"/>
        <w:rPr>
          <w:rFonts w:asciiTheme="majorBidi" w:hAnsiTheme="majorBidi" w:cstheme="majorBidi"/>
          <w:sz w:val="28"/>
          <w:szCs w:val="28"/>
          <w:rtl/>
        </w:rPr>
      </w:pPr>
    </w:p>
    <w:sectPr w:rsidR="00DE2862" w:rsidRPr="00DE2862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92C8D" w14:textId="77777777" w:rsidR="007C70BD" w:rsidRDefault="007C70BD" w:rsidP="00445810">
      <w:pPr>
        <w:spacing w:after="0" w:line="240" w:lineRule="auto"/>
      </w:pPr>
      <w:r>
        <w:separator/>
      </w:r>
    </w:p>
  </w:endnote>
  <w:endnote w:type="continuationSeparator" w:id="0">
    <w:p w14:paraId="7A03479F" w14:textId="77777777" w:rsidR="007C70BD" w:rsidRDefault="007C70BD" w:rsidP="004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teM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44A36" w14:textId="77777777" w:rsidR="007C70BD" w:rsidRDefault="007C70BD" w:rsidP="00445810">
      <w:pPr>
        <w:spacing w:after="0" w:line="240" w:lineRule="auto"/>
      </w:pPr>
      <w:r>
        <w:separator/>
      </w:r>
    </w:p>
  </w:footnote>
  <w:footnote w:type="continuationSeparator" w:id="0">
    <w:p w14:paraId="0EF710B3" w14:textId="77777777" w:rsidR="007C70BD" w:rsidRDefault="007C70BD" w:rsidP="0044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3B0"/>
    <w:multiLevelType w:val="hybridMultilevel"/>
    <w:tmpl w:val="67C69B58"/>
    <w:lvl w:ilvl="0" w:tplc="2438BC48">
      <w:start w:val="199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346"/>
    <w:multiLevelType w:val="hybridMultilevel"/>
    <w:tmpl w:val="2BF6D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7BA"/>
    <w:multiLevelType w:val="hybridMultilevel"/>
    <w:tmpl w:val="C4626080"/>
    <w:lvl w:ilvl="0" w:tplc="2438BC48">
      <w:start w:val="200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24740"/>
    <w:multiLevelType w:val="hybridMultilevel"/>
    <w:tmpl w:val="4E74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859F5"/>
    <w:multiLevelType w:val="hybridMultilevel"/>
    <w:tmpl w:val="93440F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47D7A"/>
    <w:multiLevelType w:val="hybridMultilevel"/>
    <w:tmpl w:val="F65EF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5A73"/>
    <w:multiLevelType w:val="hybridMultilevel"/>
    <w:tmpl w:val="59C65F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D23135"/>
    <w:multiLevelType w:val="hybridMultilevel"/>
    <w:tmpl w:val="0D7A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396553"/>
    <w:multiLevelType w:val="hybridMultilevel"/>
    <w:tmpl w:val="CAAA8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8175B"/>
    <w:multiLevelType w:val="hybridMultilevel"/>
    <w:tmpl w:val="8408A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8650A"/>
    <w:rsid w:val="000A5815"/>
    <w:rsid w:val="001045E6"/>
    <w:rsid w:val="001473FF"/>
    <w:rsid w:val="0015520C"/>
    <w:rsid w:val="001C7385"/>
    <w:rsid w:val="001D314C"/>
    <w:rsid w:val="001D6FD7"/>
    <w:rsid w:val="00212D41"/>
    <w:rsid w:val="00230BBE"/>
    <w:rsid w:val="00264D71"/>
    <w:rsid w:val="002A156A"/>
    <w:rsid w:val="002B5772"/>
    <w:rsid w:val="002C07F4"/>
    <w:rsid w:val="002C5DE9"/>
    <w:rsid w:val="00310248"/>
    <w:rsid w:val="00313F34"/>
    <w:rsid w:val="0033285D"/>
    <w:rsid w:val="00335047"/>
    <w:rsid w:val="00343BBA"/>
    <w:rsid w:val="003562E4"/>
    <w:rsid w:val="00370729"/>
    <w:rsid w:val="00374603"/>
    <w:rsid w:val="003864C2"/>
    <w:rsid w:val="003E665B"/>
    <w:rsid w:val="003F30E7"/>
    <w:rsid w:val="003F7F4B"/>
    <w:rsid w:val="00404C19"/>
    <w:rsid w:val="00444E2E"/>
    <w:rsid w:val="00445810"/>
    <w:rsid w:val="00453282"/>
    <w:rsid w:val="00466657"/>
    <w:rsid w:val="0051029B"/>
    <w:rsid w:val="00527626"/>
    <w:rsid w:val="00561A63"/>
    <w:rsid w:val="005703FC"/>
    <w:rsid w:val="00577F01"/>
    <w:rsid w:val="00584785"/>
    <w:rsid w:val="005879D8"/>
    <w:rsid w:val="005B6B6A"/>
    <w:rsid w:val="00637B24"/>
    <w:rsid w:val="006B199E"/>
    <w:rsid w:val="006B2B1C"/>
    <w:rsid w:val="00732AA3"/>
    <w:rsid w:val="00747F59"/>
    <w:rsid w:val="007512FC"/>
    <w:rsid w:val="00756AA1"/>
    <w:rsid w:val="00761F57"/>
    <w:rsid w:val="007A045D"/>
    <w:rsid w:val="007B08CF"/>
    <w:rsid w:val="007B6089"/>
    <w:rsid w:val="007C4F87"/>
    <w:rsid w:val="007C70BD"/>
    <w:rsid w:val="007D03E2"/>
    <w:rsid w:val="007D0A32"/>
    <w:rsid w:val="007E2552"/>
    <w:rsid w:val="007F1D4F"/>
    <w:rsid w:val="0082265B"/>
    <w:rsid w:val="00863B11"/>
    <w:rsid w:val="00865C1B"/>
    <w:rsid w:val="008744C6"/>
    <w:rsid w:val="00885084"/>
    <w:rsid w:val="008A0796"/>
    <w:rsid w:val="008B3EBC"/>
    <w:rsid w:val="00911DD5"/>
    <w:rsid w:val="009345A9"/>
    <w:rsid w:val="00936957"/>
    <w:rsid w:val="009419A5"/>
    <w:rsid w:val="00952C3A"/>
    <w:rsid w:val="009B1421"/>
    <w:rsid w:val="009D63F6"/>
    <w:rsid w:val="009E7DC2"/>
    <w:rsid w:val="00A16229"/>
    <w:rsid w:val="00A33D4D"/>
    <w:rsid w:val="00A3422F"/>
    <w:rsid w:val="00A46ED6"/>
    <w:rsid w:val="00A51D5F"/>
    <w:rsid w:val="00A63100"/>
    <w:rsid w:val="00A6410C"/>
    <w:rsid w:val="00A72512"/>
    <w:rsid w:val="00A762EB"/>
    <w:rsid w:val="00A9796F"/>
    <w:rsid w:val="00AF7DB1"/>
    <w:rsid w:val="00B46638"/>
    <w:rsid w:val="00B46DDF"/>
    <w:rsid w:val="00B55FD6"/>
    <w:rsid w:val="00B6227B"/>
    <w:rsid w:val="00B72695"/>
    <w:rsid w:val="00B760E0"/>
    <w:rsid w:val="00B81F11"/>
    <w:rsid w:val="00B9632D"/>
    <w:rsid w:val="00BB1143"/>
    <w:rsid w:val="00BF7E95"/>
    <w:rsid w:val="00C02467"/>
    <w:rsid w:val="00C335E7"/>
    <w:rsid w:val="00C65DCA"/>
    <w:rsid w:val="00C8009C"/>
    <w:rsid w:val="00CB7781"/>
    <w:rsid w:val="00CE4A28"/>
    <w:rsid w:val="00CE68A0"/>
    <w:rsid w:val="00D37CF6"/>
    <w:rsid w:val="00D5505B"/>
    <w:rsid w:val="00D70E6C"/>
    <w:rsid w:val="00DB3292"/>
    <w:rsid w:val="00DE2862"/>
    <w:rsid w:val="00DF3BC8"/>
    <w:rsid w:val="00E0144F"/>
    <w:rsid w:val="00EA6E95"/>
    <w:rsid w:val="00EE0EFA"/>
    <w:rsid w:val="00EE7F15"/>
    <w:rsid w:val="00EF2165"/>
    <w:rsid w:val="00F141BC"/>
    <w:rsid w:val="00F32948"/>
    <w:rsid w:val="00F376B4"/>
    <w:rsid w:val="00F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0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10"/>
  </w:style>
  <w:style w:type="paragraph" w:styleId="Footer">
    <w:name w:val="footer"/>
    <w:basedOn w:val="Normal"/>
    <w:link w:val="Foot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10"/>
  </w:style>
  <w:style w:type="table" w:styleId="TableGrid">
    <w:name w:val="Table Grid"/>
    <w:basedOn w:val="TableNormal"/>
    <w:uiPriority w:val="59"/>
    <w:rsid w:val="00CE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haider raheem</cp:lastModifiedBy>
  <cp:revision>45</cp:revision>
  <cp:lastPrinted>2015-02-14T12:07:00Z</cp:lastPrinted>
  <dcterms:created xsi:type="dcterms:W3CDTF">2015-02-10T17:23:00Z</dcterms:created>
  <dcterms:modified xsi:type="dcterms:W3CDTF">2022-12-26T19:56:00Z</dcterms:modified>
</cp:coreProperties>
</file>