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5D462DB8" w:rsidR="00A3422F" w:rsidRDefault="009345A9" w:rsidP="00CB77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Pharmacy Practice: Lecture </w:t>
      </w:r>
      <w:r w:rsidR="00CB7781"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B72695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0F0AF80" w14:textId="2A03EB9E" w:rsidR="009419A5" w:rsidRPr="00374603" w:rsidRDefault="00CB7781" w:rsidP="00A6410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CB7781">
        <w:rPr>
          <w:rFonts w:asciiTheme="majorBidi" w:hAnsiTheme="majorBidi" w:cstheme="majorBidi"/>
          <w:b/>
          <w:bCs/>
          <w:color w:val="0070C0"/>
          <w:sz w:val="36"/>
          <w:szCs w:val="36"/>
        </w:rPr>
        <w:t>Dosing of Drugs in Renal Failure</w:t>
      </w:r>
      <w:r w:rsidR="00A6410C" w:rsidRPr="00A6410C">
        <w:rPr>
          <w:rFonts w:ascii="Helvetica" w:hAnsi="Helvetica"/>
          <w:color w:val="71777D"/>
          <w:sz w:val="21"/>
          <w:szCs w:val="21"/>
          <w:shd w:val="clear" w:color="auto" w:fill="FFFFFF"/>
        </w:rPr>
        <w:t xml:space="preserve"> </w:t>
      </w:r>
      <w:r w:rsidR="00A6410C" w:rsidRPr="00A6410C">
        <w:rPr>
          <w:rFonts w:asciiTheme="majorBidi" w:hAnsiTheme="majorBidi" w:cstheme="majorBidi"/>
          <w:b/>
          <w:bCs/>
          <w:color w:val="0070C0"/>
          <w:sz w:val="36"/>
          <w:szCs w:val="36"/>
        </w:rPr>
        <w:t>I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291F4F3" w14:textId="77777777" w:rsidR="00B46638" w:rsidRPr="00B46638" w:rsidRDefault="00B46638" w:rsidP="00B466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B46638">
        <w:rPr>
          <w:rFonts w:asciiTheme="majorBidi" w:hAnsiTheme="majorBidi" w:cstheme="majorBidi"/>
          <w:b/>
          <w:bCs/>
          <w:color w:val="0070C0"/>
          <w:sz w:val="32"/>
          <w:szCs w:val="32"/>
        </w:rPr>
        <w:t>Ceftazidime</w:t>
      </w:r>
    </w:p>
    <w:p w14:paraId="7AFEA4D6" w14:textId="185C8678" w:rsidR="00B72695" w:rsidRPr="00B46638" w:rsidRDefault="00B46638" w:rsidP="00B466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B46638">
        <w:rPr>
          <w:rFonts w:asciiTheme="majorBidi" w:hAnsiTheme="majorBidi" w:cstheme="majorBidi"/>
          <w:color w:val="0070C0"/>
          <w:sz w:val="32"/>
          <w:szCs w:val="32"/>
        </w:rPr>
        <w:t>Dosage M</w:t>
      </w:r>
      <w:r>
        <w:rPr>
          <w:rFonts w:asciiTheme="majorBidi" w:hAnsiTheme="majorBidi" w:cstheme="majorBidi"/>
          <w:color w:val="0070C0"/>
          <w:sz w:val="32"/>
          <w:szCs w:val="32"/>
        </w:rPr>
        <w:t>odification</w:t>
      </w:r>
      <w:r w:rsidRPr="00B46638">
        <w:rPr>
          <w:rFonts w:asciiTheme="majorBidi" w:hAnsiTheme="majorBidi" w:cstheme="majorBidi"/>
          <w:color w:val="0070C0"/>
          <w:sz w:val="32"/>
          <w:szCs w:val="32"/>
        </w:rPr>
        <w:t>: F</w:t>
      </w:r>
      <w:r>
        <w:rPr>
          <w:rFonts w:asciiTheme="majorBidi" w:hAnsiTheme="majorBidi" w:cstheme="majorBidi"/>
          <w:color w:val="0070C0"/>
          <w:sz w:val="32"/>
          <w:szCs w:val="32"/>
        </w:rPr>
        <w:t>actors</w:t>
      </w:r>
      <w:r w:rsidRPr="00B46638">
        <w:rPr>
          <w:rFonts w:asciiTheme="majorBidi" w:hAnsiTheme="majorBidi" w:cstheme="majorBidi"/>
          <w:color w:val="0070C0"/>
          <w:sz w:val="32"/>
          <w:szCs w:val="32"/>
        </w:rPr>
        <w:t xml:space="preserve"> to Consider</w:t>
      </w:r>
    </w:p>
    <w:p w14:paraId="4994F3A7" w14:textId="25FD4456" w:rsidR="00B46638" w:rsidRPr="00B46638" w:rsidRDefault="00B46638" w:rsidP="00B466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6638">
        <w:rPr>
          <w:rFonts w:asciiTheme="majorBidi" w:hAnsiTheme="majorBidi" w:cstheme="majorBidi"/>
          <w:sz w:val="28"/>
          <w:szCs w:val="28"/>
        </w:rPr>
        <w:t>G.G., a 31-year-old, 70-kg woman with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3-year history of systemic lupus erythematosus, presents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to the emergency department (ED) with a 5-day history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fatigu</w:t>
      </w:r>
      <w:r w:rsidR="00466657">
        <w:rPr>
          <w:rFonts w:asciiTheme="majorBidi" w:hAnsiTheme="majorBidi" w:cstheme="majorBidi"/>
          <w:sz w:val="28"/>
          <w:szCs w:val="28"/>
        </w:rPr>
        <w:t>e, weakness, and nausea as well</w:t>
      </w:r>
      <w:r w:rsidRPr="00B46638">
        <w:rPr>
          <w:rFonts w:asciiTheme="majorBidi" w:hAnsiTheme="majorBidi" w:cstheme="majorBidi"/>
          <w:sz w:val="28"/>
          <w:szCs w:val="28"/>
        </w:rPr>
        <w:t xml:space="preserve"> as worsening of 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facial rash and a fever of 40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B46638">
        <w:rPr>
          <w:rFonts w:asciiTheme="majorBidi" w:hAnsiTheme="majorBidi" w:cstheme="majorBidi"/>
          <w:sz w:val="28"/>
          <w:szCs w:val="28"/>
        </w:rPr>
        <w:t>C. Her systemic lupus erythematosus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had been moderately controlled until this acute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flare. Her admission laboratory workup now reveals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following pertinent values:</w:t>
      </w:r>
    </w:p>
    <w:p w14:paraId="72541C91" w14:textId="77777777" w:rsidR="00B46638" w:rsidRPr="00B46638" w:rsidRDefault="00B46638" w:rsidP="00B466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6638">
        <w:rPr>
          <w:rFonts w:asciiTheme="majorBidi" w:hAnsiTheme="majorBidi" w:cstheme="majorBidi"/>
          <w:sz w:val="28"/>
          <w:szCs w:val="28"/>
        </w:rPr>
        <w:t>Potassium (K), 6.0 mEq/L</w:t>
      </w:r>
    </w:p>
    <w:p w14:paraId="1FD8CAC8" w14:textId="77777777" w:rsidR="00B46638" w:rsidRPr="00B46638" w:rsidRDefault="00B46638" w:rsidP="00B466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6638">
        <w:rPr>
          <w:rFonts w:asciiTheme="majorBidi" w:hAnsiTheme="majorBidi" w:cstheme="majorBidi"/>
          <w:sz w:val="28"/>
          <w:szCs w:val="28"/>
        </w:rPr>
        <w:t>Sodium (Na), 142 mEq/L</w:t>
      </w:r>
    </w:p>
    <w:p w14:paraId="5AE827E8" w14:textId="77777777" w:rsidR="00B46638" w:rsidRPr="00B46638" w:rsidRDefault="00B46638" w:rsidP="00B466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6638">
        <w:rPr>
          <w:rFonts w:asciiTheme="majorBidi" w:hAnsiTheme="majorBidi" w:cstheme="majorBidi"/>
          <w:sz w:val="28"/>
          <w:szCs w:val="28"/>
        </w:rPr>
        <w:t>Serum creatinine (SCr), 3.4 mg/dL</w:t>
      </w:r>
    </w:p>
    <w:p w14:paraId="174FD38A" w14:textId="77777777" w:rsidR="00B46638" w:rsidRPr="00B46638" w:rsidRDefault="00B46638" w:rsidP="00B466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6638">
        <w:rPr>
          <w:rFonts w:asciiTheme="majorBidi" w:hAnsiTheme="majorBidi" w:cstheme="majorBidi"/>
          <w:sz w:val="28"/>
          <w:szCs w:val="28"/>
        </w:rPr>
        <w:t>Blood urea nitrogen (BUN), 38 mg/dL</w:t>
      </w:r>
    </w:p>
    <w:p w14:paraId="4B6631D1" w14:textId="1330EF91" w:rsidR="00B46638" w:rsidRPr="00B46638" w:rsidRDefault="00B46638" w:rsidP="00B466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6638">
        <w:rPr>
          <w:rFonts w:asciiTheme="majorBidi" w:hAnsiTheme="majorBidi" w:cstheme="majorBidi"/>
          <w:sz w:val="28"/>
          <w:szCs w:val="28"/>
        </w:rPr>
        <w:t>Complete blood count reveals a hematocrit of 32%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a hemoglobin of 9.2 g/dL. The platelet count is 50,000/</w:t>
      </w:r>
      <w:r w:rsidRPr="00B46638">
        <w:rPr>
          <w:rFonts w:asciiTheme="majorBidi" w:hAnsiTheme="majorBidi" w:cstheme="majorBidi"/>
          <w:b/>
          <w:bCs/>
          <w:i/>
          <w:iCs/>
          <w:sz w:val="28"/>
          <w:szCs w:val="28"/>
        </w:rPr>
        <w:t>μ</w:t>
      </w:r>
      <w:r w:rsidRPr="00B46638">
        <w:rPr>
          <w:rFonts w:asciiTheme="majorBidi" w:hAnsiTheme="majorBidi" w:cstheme="majorBidi"/>
          <w:sz w:val="28"/>
          <w:szCs w:val="28"/>
        </w:rPr>
        <w:t>L,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and her erythrocyte sedimentation rate is 35 mm/hour.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Physical examination is significant for a blood pressure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136/92 mm Hg and 2</w:t>
      </w:r>
      <w:r w:rsidRPr="00B46638">
        <w:rPr>
          <w:rFonts w:asciiTheme="majorBidi" w:hAnsiTheme="majorBidi" w:cstheme="majorBidi"/>
          <w:b/>
          <w:bCs/>
          <w:sz w:val="28"/>
          <w:szCs w:val="28"/>
        </w:rPr>
        <w:t xml:space="preserve">+ </w:t>
      </w:r>
      <w:r w:rsidRPr="00B46638">
        <w:rPr>
          <w:rFonts w:asciiTheme="majorBidi" w:hAnsiTheme="majorBidi" w:cstheme="majorBidi"/>
          <w:sz w:val="28"/>
          <w:szCs w:val="28"/>
        </w:rPr>
        <w:t>pedal edema. Prednisone is started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at a dose of 1.5 mg/kg/day.</w:t>
      </w:r>
    </w:p>
    <w:p w14:paraId="79AB96A7" w14:textId="448A6298" w:rsidR="00885084" w:rsidRDefault="00B46638" w:rsidP="00B466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46638">
        <w:rPr>
          <w:rFonts w:asciiTheme="majorBidi" w:hAnsiTheme="majorBidi" w:cstheme="majorBidi"/>
          <w:sz w:val="28"/>
          <w:szCs w:val="28"/>
        </w:rPr>
        <w:t>Two weeks into her hospital course, G.G.’s condition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 xml:space="preserve">worsens and signs of sepsis develop. </w:t>
      </w:r>
      <w:r w:rsidRPr="00B46638">
        <w:rPr>
          <w:rFonts w:asciiTheme="majorBidi" w:hAnsiTheme="majorBidi" w:cstheme="majorBidi"/>
          <w:i/>
          <w:iCs/>
          <w:sz w:val="28"/>
          <w:szCs w:val="28"/>
        </w:rPr>
        <w:t>Pseudomonas aeruginosa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is cultured from her urine. Therapy with ceftazidime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initiated at a dose of 1 g every 8 hours, a dose commonly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used for patients with good renal function. Considering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G.G.’s renal function has remained stable and that she has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an estimated CrCl of 27 mL/minute, what factors should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considered before modifying her dose? What would be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46638">
        <w:rPr>
          <w:rFonts w:asciiTheme="majorBidi" w:hAnsiTheme="majorBidi" w:cstheme="majorBidi"/>
          <w:sz w:val="28"/>
          <w:szCs w:val="28"/>
        </w:rPr>
        <w:t>appropriate dose of ceftazidime for G.G.?</w:t>
      </w:r>
    </w:p>
    <w:p w14:paraId="0BF531C5" w14:textId="77777777" w:rsidR="00B46638" w:rsidRDefault="00B46638" w:rsidP="00B4663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40836B0" w14:textId="731A52AF" w:rsidR="00AF7DB1" w:rsidRPr="00AF7DB1" w:rsidRDefault="00AF7DB1" w:rsidP="00AF7D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7DB1">
        <w:rPr>
          <w:rFonts w:asciiTheme="majorBidi" w:hAnsiTheme="majorBidi" w:cstheme="majorBidi"/>
          <w:sz w:val="28"/>
          <w:szCs w:val="28"/>
        </w:rPr>
        <w:t>Before modifying the dose of any drug, its route of elimination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should be established. As a general rule, the degree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which renal impairment affects elimination depends on the percentage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of unchanged drug that is excreted by the kidney. Thus,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the elimination of most drugs that are primarily cleared by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kidneys will be decreased in the setting of renal impairment.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many drugs dependent</w:t>
      </w:r>
      <w:r>
        <w:rPr>
          <w:rFonts w:asciiTheme="majorBidi" w:hAnsiTheme="majorBidi" w:cstheme="majorBidi"/>
          <w:sz w:val="28"/>
          <w:szCs w:val="28"/>
        </w:rPr>
        <w:t xml:space="preserve"> on the kidney for elimination, </w:t>
      </w:r>
      <w:r w:rsidRPr="00AF7DB1">
        <w:rPr>
          <w:rFonts w:asciiTheme="majorBidi" w:hAnsiTheme="majorBidi" w:cstheme="majorBidi"/>
          <w:sz w:val="28"/>
          <w:szCs w:val="28"/>
        </w:rPr>
        <w:t>relationships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between some measurement of renal function (e.g., CrCl)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and some parameter of drug elimination (e.g., plasma clearance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or half-life) have been established to help clinicians determine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appropriate dosing modifications in patients with renal disease.</w:t>
      </w:r>
    </w:p>
    <w:p w14:paraId="0E9B7370" w14:textId="77777777" w:rsidR="00AF7DB1" w:rsidRDefault="00AF7DB1" w:rsidP="00AF7D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DanteMT-Regular" w:hAnsi="DanteMT-Regular" w:cs="DanteMT-Regular"/>
          <w:sz w:val="20"/>
          <w:szCs w:val="20"/>
        </w:rPr>
      </w:pPr>
      <w:r w:rsidRPr="00AF7DB1">
        <w:rPr>
          <w:rFonts w:asciiTheme="majorBidi" w:hAnsiTheme="majorBidi" w:cstheme="majorBidi"/>
          <w:sz w:val="28"/>
          <w:szCs w:val="28"/>
        </w:rPr>
        <w:t>In contrast, the clearance of drugs that are eliminated primarily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by nonrenal mechanisms (e.g., hepatic metabolism)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 xml:space="preserve">not altered </w:t>
      </w:r>
      <w:r w:rsidRPr="00AF7DB1">
        <w:rPr>
          <w:rFonts w:asciiTheme="majorBidi" w:hAnsiTheme="majorBidi" w:cstheme="majorBidi"/>
          <w:sz w:val="28"/>
          <w:szCs w:val="28"/>
        </w:rPr>
        <w:lastRenderedPageBreak/>
        <w:t>significantly in patients with renal disease. However,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some drugs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water-soluble metabolites that have either pharmacologic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activity or potential toxicity and that may accumulate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with renal dysfunction, warranting dosage adjustment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avoidance of the drug entirely (e.g., meperidine</w:t>
      </w:r>
      <w:r>
        <w:rPr>
          <w:rFonts w:asciiTheme="majorBidi" w:hAnsiTheme="majorBidi" w:cstheme="majorBidi"/>
          <w:sz w:val="28"/>
          <w:szCs w:val="28"/>
        </w:rPr>
        <w:t>).</w:t>
      </w:r>
      <w:r w:rsidRPr="00AF7DB1">
        <w:rPr>
          <w:rFonts w:ascii="DanteMT-Regular" w:hAnsi="DanteMT-Regular" w:cs="DanteMT-Regular"/>
          <w:sz w:val="20"/>
          <w:szCs w:val="20"/>
        </w:rPr>
        <w:t xml:space="preserve"> </w:t>
      </w:r>
    </w:p>
    <w:p w14:paraId="0175F506" w14:textId="77777777" w:rsidR="00AF7DB1" w:rsidRDefault="00AF7DB1" w:rsidP="00AF7D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DanteMT-Regular" w:hAnsi="DanteMT-Regular" w:cs="DanteMT-Regular"/>
          <w:sz w:val="20"/>
          <w:szCs w:val="20"/>
        </w:rPr>
      </w:pPr>
      <w:r w:rsidRPr="00AF7DB1">
        <w:rPr>
          <w:rFonts w:asciiTheme="majorBidi" w:hAnsiTheme="majorBidi" w:cstheme="majorBidi"/>
          <w:sz w:val="28"/>
          <w:szCs w:val="28"/>
        </w:rPr>
        <w:t>Another important factor to consi</w:t>
      </w:r>
      <w:r>
        <w:rPr>
          <w:rFonts w:asciiTheme="majorBidi" w:hAnsiTheme="majorBidi" w:cstheme="majorBidi"/>
          <w:sz w:val="28"/>
          <w:szCs w:val="28"/>
        </w:rPr>
        <w:t xml:space="preserve">der is the “therapeutic window” </w:t>
      </w:r>
      <w:r w:rsidRPr="00AF7DB1">
        <w:rPr>
          <w:rFonts w:asciiTheme="majorBidi" w:hAnsiTheme="majorBidi" w:cstheme="majorBidi"/>
          <w:sz w:val="28"/>
          <w:szCs w:val="28"/>
        </w:rPr>
        <w:t>for a given drug, i.e., the range of drug concentrations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thought to be most effective. Drug concentrations below this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range are usually subtherapeutic, whereas concentrations above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this range can lead to a greater incidence of adverse effects.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drugs with a wide therapeutic window, the difference between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toxic and therapeutic concentrations is large. Although many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drugs that are cleared primarily by the kidney may require dosing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modifications in patients with renal dysfunction, aggressive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dose reduction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may not be necessary for drugs with a large therapeutic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window, particularly if the adverse effects of the drug (e.g.,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fluconazole) are relatively mild. This is in contrast to drugs (e.g.,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aminoglycosides, vancomycin, or foscarnet) that are eliminated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primarily by the kidney and have narrow therapeutic windows.</w:t>
      </w:r>
      <w:r w:rsidRPr="00AF7DB1">
        <w:rPr>
          <w:rFonts w:ascii="DanteMT-Regular" w:hAnsi="DanteMT-Regular" w:cs="DanteMT-Regular"/>
          <w:sz w:val="20"/>
          <w:szCs w:val="20"/>
        </w:rPr>
        <w:t xml:space="preserve"> </w:t>
      </w:r>
    </w:p>
    <w:p w14:paraId="7723350B" w14:textId="77777777" w:rsidR="00AF7DB1" w:rsidRDefault="00AF7DB1" w:rsidP="00AF7D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DanteMT-Regular" w:hAnsi="DanteMT-Regular" w:cs="DanteMT-Regular"/>
          <w:sz w:val="20"/>
          <w:szCs w:val="20"/>
        </w:rPr>
      </w:pPr>
    </w:p>
    <w:p w14:paraId="72D33B9E" w14:textId="737DE0C8" w:rsidR="00AF7DB1" w:rsidRPr="00AF7DB1" w:rsidRDefault="00AF7DB1" w:rsidP="00AF7D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7DB1">
        <w:rPr>
          <w:rFonts w:asciiTheme="majorBidi" w:hAnsiTheme="majorBidi" w:cstheme="majorBidi"/>
          <w:sz w:val="28"/>
          <w:szCs w:val="28"/>
        </w:rPr>
        <w:t>Ceftazidime is a cephalospo</w:t>
      </w:r>
      <w:r>
        <w:rPr>
          <w:rFonts w:asciiTheme="majorBidi" w:hAnsiTheme="majorBidi" w:cstheme="majorBidi"/>
          <w:sz w:val="28"/>
          <w:szCs w:val="28"/>
        </w:rPr>
        <w:t xml:space="preserve">rin that has excellent activity </w:t>
      </w:r>
      <w:r w:rsidRPr="00AF7DB1">
        <w:rPr>
          <w:rFonts w:asciiTheme="majorBidi" w:hAnsiTheme="majorBidi" w:cstheme="majorBidi"/>
          <w:sz w:val="28"/>
          <w:szCs w:val="28"/>
        </w:rPr>
        <w:t xml:space="preserve">against most strains of </w:t>
      </w:r>
      <w:r w:rsidRPr="00AF7DB1">
        <w:rPr>
          <w:rFonts w:asciiTheme="majorBidi" w:hAnsiTheme="majorBidi" w:cstheme="majorBidi"/>
          <w:i/>
          <w:iCs/>
          <w:sz w:val="28"/>
          <w:szCs w:val="28"/>
        </w:rPr>
        <w:t xml:space="preserve">Pseudomonas </w:t>
      </w:r>
      <w:r w:rsidRPr="00AF7DB1">
        <w:rPr>
          <w:rFonts w:asciiTheme="majorBidi" w:hAnsiTheme="majorBidi" w:cstheme="majorBidi"/>
          <w:sz w:val="28"/>
          <w:szCs w:val="28"/>
        </w:rPr>
        <w:t>species. As with most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cephalosporins, ceftazidime primarily is cleared by the kidneys,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with little nonrenal or hepatic elimination. The correlation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between the clearance of ceftazidime and CrCl in mL/minute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is represented by the following equation:</w:t>
      </w:r>
    </w:p>
    <w:p w14:paraId="541BF06D" w14:textId="1E8E74BA" w:rsidR="00AF7DB1" w:rsidRDefault="00AF7DB1" w:rsidP="00AF7DB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F7DB1">
        <w:rPr>
          <w:rFonts w:asciiTheme="majorBidi" w:hAnsiTheme="majorBidi" w:cstheme="majorBidi"/>
          <w:sz w:val="28"/>
          <w:szCs w:val="28"/>
        </w:rPr>
        <w:t>Cl</w:t>
      </w:r>
      <w:r w:rsidRPr="00AF7DB1">
        <w:rPr>
          <w:rFonts w:asciiTheme="majorBidi" w:hAnsiTheme="majorBidi" w:cstheme="majorBidi"/>
          <w:sz w:val="28"/>
          <w:szCs w:val="28"/>
          <w:vertAlign w:val="subscript"/>
        </w:rPr>
        <w:t>ceftaz</w:t>
      </w:r>
      <w:r w:rsidRPr="00AF7DB1">
        <w:rPr>
          <w:rFonts w:asciiTheme="majorBidi" w:hAnsiTheme="majorBidi" w:cstheme="majorBidi"/>
          <w:sz w:val="28"/>
          <w:szCs w:val="28"/>
        </w:rPr>
        <w:t>(mL/minute) = (0</w:t>
      </w:r>
      <w:r w:rsidRPr="00AF7DB1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AF7DB1">
        <w:rPr>
          <w:rFonts w:asciiTheme="majorBidi" w:hAnsiTheme="majorBidi" w:cstheme="majorBidi"/>
          <w:sz w:val="28"/>
          <w:szCs w:val="28"/>
        </w:rPr>
        <w:t>95)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(CrCl) + 6</w:t>
      </w:r>
      <w:r w:rsidRPr="00AF7DB1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AF7DB1">
        <w:rPr>
          <w:rFonts w:asciiTheme="majorBidi" w:hAnsiTheme="majorBidi" w:cstheme="majorBidi"/>
          <w:sz w:val="28"/>
          <w:szCs w:val="28"/>
        </w:rPr>
        <w:t>59</w:t>
      </w:r>
    </w:p>
    <w:p w14:paraId="6592A538" w14:textId="3DAF4159" w:rsidR="002B5772" w:rsidRDefault="00AF7DB1" w:rsidP="00AF7D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AF7DB1">
        <w:rPr>
          <w:rFonts w:asciiTheme="majorBidi" w:hAnsiTheme="majorBidi" w:cstheme="majorBidi"/>
          <w:sz w:val="28"/>
          <w:szCs w:val="28"/>
        </w:rPr>
        <w:t>he clea</w:t>
      </w:r>
      <w:r>
        <w:rPr>
          <w:rFonts w:asciiTheme="majorBidi" w:hAnsiTheme="majorBidi" w:cstheme="majorBidi"/>
          <w:sz w:val="28"/>
          <w:szCs w:val="28"/>
        </w:rPr>
        <w:t xml:space="preserve">rance of ceftazidime in G.G. is </w:t>
      </w:r>
      <w:r w:rsidRPr="00AF7DB1">
        <w:rPr>
          <w:rFonts w:asciiTheme="majorBidi" w:hAnsiTheme="majorBidi" w:cstheme="majorBidi"/>
          <w:sz w:val="28"/>
          <w:szCs w:val="28"/>
        </w:rPr>
        <w:t>estimated to be 32 mL/minute compared with an average normal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clearance of approximately 100 mL/minute. Because 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drug clearance is approximately one-third of normal, she would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require about one-third of the normal daily dose (i.e., 1 g every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24 hours). As with other cephalosporins, ceftazidime has a large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3285D">
        <w:rPr>
          <w:rFonts w:asciiTheme="majorBidi" w:hAnsiTheme="majorBidi" w:cstheme="majorBidi"/>
          <w:sz w:val="28"/>
          <w:szCs w:val="28"/>
        </w:rPr>
        <w:t>therapeutic window.</w:t>
      </w:r>
      <w:r w:rsidRPr="00AF7DB1">
        <w:rPr>
          <w:rFonts w:asciiTheme="majorBidi" w:hAnsiTheme="majorBidi" w:cstheme="majorBidi"/>
          <w:sz w:val="28"/>
          <w:szCs w:val="28"/>
        </w:rPr>
        <w:t xml:space="preserve"> Failure to reduce the dose from a normal</w:t>
      </w:r>
      <w:r>
        <w:rPr>
          <w:rFonts w:asciiTheme="majorBidi" w:hAnsiTheme="majorBidi" w:cstheme="majorBidi"/>
          <w:sz w:val="28"/>
          <w:szCs w:val="28"/>
        </w:rPr>
        <w:t xml:space="preserve"> dose of 1 </w:t>
      </w:r>
      <w:r w:rsidRPr="00AF7DB1">
        <w:rPr>
          <w:rFonts w:asciiTheme="majorBidi" w:hAnsiTheme="majorBidi" w:cstheme="majorBidi"/>
          <w:sz w:val="28"/>
          <w:szCs w:val="28"/>
        </w:rPr>
        <w:t>g every 8 hours, although likely safe, might lead to accumulation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of ceftazidime, predisposing G.G. to seizures and 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 xml:space="preserve">adverse effects associated with toxic </w:t>
      </w:r>
      <w:r w:rsidRPr="00AF7DB1">
        <w:rPr>
          <w:rFonts w:asciiTheme="majorBidi" w:hAnsiTheme="majorBidi" w:cstheme="majorBidi"/>
          <w:i/>
          <w:iCs/>
          <w:sz w:val="28"/>
          <w:szCs w:val="28"/>
        </w:rPr>
        <w:t>β</w:t>
      </w:r>
      <w:r w:rsidRPr="00AF7DB1">
        <w:rPr>
          <w:rFonts w:asciiTheme="majorBidi" w:hAnsiTheme="majorBidi" w:cstheme="majorBidi"/>
          <w:sz w:val="28"/>
          <w:szCs w:val="28"/>
        </w:rPr>
        <w:t>-lactam antibiotic plasma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7DB1">
        <w:rPr>
          <w:rFonts w:asciiTheme="majorBidi" w:hAnsiTheme="majorBidi" w:cstheme="majorBidi"/>
          <w:sz w:val="28"/>
          <w:szCs w:val="28"/>
        </w:rPr>
        <w:t>levels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E67B135" w14:textId="77777777" w:rsidR="00AF7DB1" w:rsidRDefault="00AF7DB1" w:rsidP="00AF7D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364177B" w14:textId="08A418F1" w:rsidR="00885084" w:rsidRDefault="00AF7DB1" w:rsidP="00AF7D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F7DB1">
        <w:rPr>
          <w:rFonts w:asciiTheme="majorBidi" w:hAnsiTheme="majorBidi" w:cstheme="majorBidi"/>
          <w:b/>
          <w:bCs/>
          <w:color w:val="0070C0"/>
          <w:sz w:val="32"/>
          <w:szCs w:val="32"/>
        </w:rPr>
        <w:t>Aminoglycosides</w:t>
      </w:r>
    </w:p>
    <w:p w14:paraId="13037261" w14:textId="5E784D85" w:rsidR="00885084" w:rsidRDefault="00404C19" w:rsidP="00404C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04C19">
        <w:rPr>
          <w:rFonts w:asciiTheme="majorBidi" w:hAnsiTheme="majorBidi" w:cstheme="majorBidi"/>
          <w:sz w:val="28"/>
          <w:szCs w:val="28"/>
        </w:rPr>
        <w:t>G.G.’s medical team decides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4C19">
        <w:rPr>
          <w:rFonts w:asciiTheme="majorBidi" w:hAnsiTheme="majorBidi" w:cstheme="majorBidi"/>
          <w:sz w:val="28"/>
          <w:szCs w:val="28"/>
        </w:rPr>
        <w:t>the addition of an aminoglycoside antibiotic is necessary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4C19">
        <w:rPr>
          <w:rFonts w:asciiTheme="majorBidi" w:hAnsiTheme="majorBidi" w:cstheme="majorBidi"/>
          <w:sz w:val="28"/>
          <w:szCs w:val="28"/>
        </w:rPr>
        <w:t>treat her infection. Considering that her renal function has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4C19">
        <w:rPr>
          <w:rFonts w:asciiTheme="majorBidi" w:hAnsiTheme="majorBidi" w:cstheme="majorBidi"/>
          <w:sz w:val="28"/>
          <w:szCs w:val="28"/>
        </w:rPr>
        <w:t>remained stable, how should gentamicin be dosed in G.G.?</w:t>
      </w:r>
      <w:r w:rsidRPr="00404C19">
        <w:rPr>
          <w:rFonts w:ascii="Avenir-Heavy" w:hAnsi="Avenir-Heavy" w:cs="Avenir-Heavy"/>
          <w:sz w:val="17"/>
          <w:szCs w:val="17"/>
        </w:rPr>
        <w:t xml:space="preserve"> </w:t>
      </w:r>
      <w:r w:rsidRPr="00404C19">
        <w:rPr>
          <w:rFonts w:asciiTheme="majorBidi" w:hAnsiTheme="majorBidi" w:cstheme="majorBidi"/>
          <w:sz w:val="28"/>
          <w:szCs w:val="28"/>
        </w:rPr>
        <w:t>Is it best to alter the dose or the dosing interval for this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4C19">
        <w:rPr>
          <w:rFonts w:asciiTheme="majorBidi" w:hAnsiTheme="majorBidi" w:cstheme="majorBidi"/>
          <w:sz w:val="28"/>
          <w:szCs w:val="28"/>
        </w:rPr>
        <w:t>drug?</w:t>
      </w:r>
    </w:p>
    <w:p w14:paraId="4842D2C3" w14:textId="7AC448F2" w:rsidR="00404C19" w:rsidRDefault="00404C19" w:rsidP="00404C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72F6766" w14:textId="509E8BCC" w:rsidR="00B9632D" w:rsidRDefault="00B9632D" w:rsidP="00B96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65DF7B" w14:textId="77777777" w:rsidR="00B9632D" w:rsidRDefault="00B9632D" w:rsidP="00B96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ABB186D" w14:textId="7C79ADF9" w:rsidR="00404C19" w:rsidRPr="00B46638" w:rsidRDefault="00404C19" w:rsidP="00404C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0070C0"/>
          <w:sz w:val="32"/>
          <w:szCs w:val="32"/>
        </w:rPr>
        <w:lastRenderedPageBreak/>
        <w:t>Alteration of Dose versus</w:t>
      </w:r>
      <w:r w:rsidRPr="00B46638">
        <w:rPr>
          <w:rFonts w:asciiTheme="majorBidi" w:hAnsiTheme="majorBidi" w:cstheme="majorBidi"/>
          <w:color w:val="0070C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70C0"/>
          <w:sz w:val="32"/>
          <w:szCs w:val="32"/>
        </w:rPr>
        <w:t>Dosing Interval</w:t>
      </w:r>
    </w:p>
    <w:p w14:paraId="677FF380" w14:textId="5932B63F" w:rsidR="00911DD5" w:rsidRDefault="00911DD5" w:rsidP="00911DD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DD5">
        <w:rPr>
          <w:rFonts w:asciiTheme="majorBidi" w:hAnsiTheme="majorBidi" w:cstheme="majorBidi"/>
          <w:sz w:val="28"/>
          <w:szCs w:val="28"/>
        </w:rPr>
        <w:t>The aminoglycosides (e.g., tobramycin, gentamicin, amikacin)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are effective in the treatment of serious systemic infections caused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 xml:space="preserve">by gram-negative organisms such as </w:t>
      </w:r>
      <w:r w:rsidRPr="00911DD5">
        <w:rPr>
          <w:rFonts w:asciiTheme="majorBidi" w:hAnsiTheme="majorBidi" w:cstheme="majorBidi"/>
          <w:i/>
          <w:iCs/>
          <w:sz w:val="28"/>
          <w:szCs w:val="28"/>
        </w:rPr>
        <w:t xml:space="preserve">Pseudomonas </w:t>
      </w:r>
      <w:r w:rsidRPr="00911DD5">
        <w:rPr>
          <w:rFonts w:asciiTheme="majorBidi" w:hAnsiTheme="majorBidi" w:cstheme="majorBidi"/>
          <w:sz w:val="28"/>
          <w:szCs w:val="28"/>
        </w:rPr>
        <w:t>species. Unlike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the cephalosporins and penicillins, however, the aminoglycosides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have a relatively narrow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therapeutic window. Using pharmacokinetic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principles, a dose regimen can be designed to produce specific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peak and trough serum concentrations. Peak serum concentrations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(Cp</w:t>
      </w:r>
      <w:r w:rsidRPr="00911DD5">
        <w:rPr>
          <w:rFonts w:asciiTheme="majorBidi" w:hAnsiTheme="majorBidi" w:cstheme="majorBidi"/>
          <w:sz w:val="28"/>
          <w:szCs w:val="28"/>
          <w:vertAlign w:val="subscript"/>
        </w:rPr>
        <w:t>peak</w:t>
      </w:r>
      <w:r w:rsidRPr="00911DD5">
        <w:rPr>
          <w:rFonts w:asciiTheme="majorBidi" w:hAnsiTheme="majorBidi" w:cstheme="majorBidi"/>
          <w:sz w:val="28"/>
          <w:szCs w:val="28"/>
        </w:rPr>
        <w:t>) (e.g., gentamicin or tobramycin 5–8 mg/L)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correlate best with therapeutic efficacy, whereas toxicity tends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to correlate with elevated trough levels (Cp</w:t>
      </w:r>
      <w:r w:rsidRPr="00911DD5">
        <w:rPr>
          <w:rFonts w:asciiTheme="majorBidi" w:hAnsiTheme="majorBidi" w:cstheme="majorBidi"/>
          <w:sz w:val="28"/>
          <w:szCs w:val="28"/>
          <w:vertAlign w:val="subscript"/>
        </w:rPr>
        <w:t>trough</w:t>
      </w:r>
      <w:r w:rsidRPr="00911DD5">
        <w:rPr>
          <w:rFonts w:asciiTheme="majorBidi" w:hAnsiTheme="majorBidi" w:cstheme="majorBidi"/>
          <w:sz w:val="28"/>
          <w:szCs w:val="28"/>
        </w:rPr>
        <w:t>), which reflects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prolonged exposure to high drug concentrations. To minimize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the risk of toxicity, trough levels of less than 2 mg/L should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maintained. In patients with normal renal function, these target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serum aminoglycoside concentrations are usually obtained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after standard doses (e.g., 1.5 mg/kg) administered every 8 hours.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Peak and trough levels are typically measured once steady state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is achieved, which is typically within 24 hours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BD4B113" w14:textId="3FF3008E" w:rsidR="00911DD5" w:rsidRDefault="00911DD5" w:rsidP="00911DD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DanteMT-Regular" w:hAnsi="DanteMT-Regular" w:cs="DanteMT-Regular"/>
          <w:sz w:val="20"/>
          <w:szCs w:val="20"/>
        </w:rPr>
      </w:pPr>
      <w:r w:rsidRPr="00911DD5">
        <w:rPr>
          <w:rFonts w:asciiTheme="majorBidi" w:hAnsiTheme="majorBidi" w:cstheme="majorBidi"/>
          <w:sz w:val="28"/>
          <w:szCs w:val="28"/>
        </w:rPr>
        <w:t>Many clinicians now use once-daily dosing of the aminoglycosides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(e.g., 5 mg/kg every 24 hours) for patients with normal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renal function in an attempt to minimize aminoglycoside accumulation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and nephrotoxicity. The rationale for this regimen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based on the aminoglycosides’ concentration-dependent killing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and postantibiotic effect. This approach is not recommended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for patients with ad</w:t>
      </w:r>
      <w:r w:rsidR="00D37CF6">
        <w:rPr>
          <w:rFonts w:asciiTheme="majorBidi" w:hAnsiTheme="majorBidi" w:cstheme="majorBidi"/>
          <w:sz w:val="28"/>
          <w:szCs w:val="28"/>
        </w:rPr>
        <w:t>vanced renal impairment</w:t>
      </w:r>
      <w:r w:rsidRPr="00911DD5">
        <w:rPr>
          <w:rFonts w:asciiTheme="majorBidi" w:hAnsiTheme="majorBidi" w:cstheme="majorBidi"/>
          <w:sz w:val="28"/>
          <w:szCs w:val="28"/>
        </w:rPr>
        <w:t>. When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once-daily dosing is used, peak concentrations are less helpful;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however, trough concentrations should be monitored with a target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of being below the limit of analytic detection (</w:t>
      </w:r>
      <w:r w:rsidRPr="00911DD5">
        <w:rPr>
          <w:rFonts w:asciiTheme="majorBidi" w:hAnsiTheme="majorBidi" w:cstheme="majorBidi"/>
          <w:i/>
          <w:iCs/>
          <w:sz w:val="28"/>
          <w:szCs w:val="28"/>
        </w:rPr>
        <w:t>&lt;</w:t>
      </w:r>
      <w:r w:rsidRPr="00911DD5">
        <w:rPr>
          <w:rFonts w:asciiTheme="majorBidi" w:hAnsiTheme="majorBidi" w:cstheme="majorBidi"/>
          <w:sz w:val="28"/>
          <w:szCs w:val="28"/>
        </w:rPr>
        <w:t>1 mg/L).</w:t>
      </w:r>
      <w:r w:rsidRPr="00911DD5">
        <w:rPr>
          <w:rFonts w:ascii="DanteMT-Regular" w:hAnsi="DanteMT-Regular" w:cs="DanteMT-Regular"/>
          <w:sz w:val="20"/>
          <w:szCs w:val="20"/>
        </w:rPr>
        <w:t xml:space="preserve"> </w:t>
      </w:r>
    </w:p>
    <w:p w14:paraId="188088BF" w14:textId="77777777" w:rsidR="00B55FD6" w:rsidRDefault="00911DD5" w:rsidP="00B55F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DanteMT-Regular" w:hAnsi="DanteMT-Regular" w:cs="DanteMT-Regular"/>
          <w:sz w:val="20"/>
          <w:szCs w:val="20"/>
        </w:rPr>
      </w:pPr>
      <w:r w:rsidRPr="00911DD5">
        <w:rPr>
          <w:rFonts w:asciiTheme="majorBidi" w:hAnsiTheme="majorBidi" w:cstheme="majorBidi"/>
          <w:sz w:val="28"/>
          <w:szCs w:val="28"/>
        </w:rPr>
        <w:t>Aminoglycosides are almost completely eliminated</w:t>
      </w:r>
      <w:r>
        <w:rPr>
          <w:rFonts w:asciiTheme="majorBidi" w:hAnsiTheme="majorBidi" w:cstheme="majorBidi"/>
          <w:sz w:val="28"/>
          <w:szCs w:val="28"/>
        </w:rPr>
        <w:t xml:space="preserve"> by the kidneys; </w:t>
      </w:r>
      <w:r w:rsidRPr="00911DD5">
        <w:rPr>
          <w:rFonts w:asciiTheme="majorBidi" w:hAnsiTheme="majorBidi" w:cstheme="majorBidi"/>
          <w:sz w:val="28"/>
          <w:szCs w:val="28"/>
        </w:rPr>
        <w:t>thus, the clearance of these drugs essentially is equal 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glomerular filtration rate (GFR). The pharmacokinetic properties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of gentamicin and tobramycin are similar.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close correlation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also exists between CrCl (a surrogate for GFR) and gentamicin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total body clearance. As renal function deteriorates, aminoglycoside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doses must be modified to achieve the desired peak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trough plasma concentrations. Failure to appropriately adjust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dosage of aminoglycosides in renal insufficiency can lead to high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11DD5">
        <w:rPr>
          <w:rFonts w:asciiTheme="majorBidi" w:hAnsiTheme="majorBidi" w:cstheme="majorBidi"/>
          <w:sz w:val="28"/>
          <w:szCs w:val="28"/>
        </w:rPr>
        <w:t>drug plasma levels that can result in ototoxicity and nephrotoxicity.</w:t>
      </w:r>
      <w:r w:rsidR="00B55FD6" w:rsidRPr="00B55FD6">
        <w:rPr>
          <w:rFonts w:ascii="DanteMT-Regular" w:hAnsi="DanteMT-Regular" w:cs="DanteMT-Regular"/>
          <w:sz w:val="20"/>
          <w:szCs w:val="20"/>
        </w:rPr>
        <w:t xml:space="preserve"> </w:t>
      </w:r>
    </w:p>
    <w:p w14:paraId="12E9EF77" w14:textId="5C58FEF2" w:rsidR="00637B24" w:rsidRDefault="00B55FD6" w:rsidP="00B55F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5FD6">
        <w:rPr>
          <w:rFonts w:asciiTheme="majorBidi" w:hAnsiTheme="majorBidi" w:cstheme="majorBidi"/>
          <w:sz w:val="28"/>
          <w:szCs w:val="28"/>
        </w:rPr>
        <w:t>In many cases, the aminogl</w:t>
      </w:r>
      <w:r>
        <w:rPr>
          <w:rFonts w:asciiTheme="majorBidi" w:hAnsiTheme="majorBidi" w:cstheme="majorBidi"/>
          <w:sz w:val="28"/>
          <w:szCs w:val="28"/>
        </w:rPr>
        <w:t xml:space="preserve">ycoside dose can be modified by </w:t>
      </w:r>
      <w:r w:rsidRPr="00B55FD6">
        <w:rPr>
          <w:rFonts w:asciiTheme="majorBidi" w:hAnsiTheme="majorBidi" w:cstheme="majorBidi"/>
          <w:sz w:val="28"/>
          <w:szCs w:val="28"/>
        </w:rPr>
        <w:t>extending the dosing interval rather than simply reducing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5FD6">
        <w:rPr>
          <w:rFonts w:asciiTheme="majorBidi" w:hAnsiTheme="majorBidi" w:cstheme="majorBidi"/>
          <w:sz w:val="28"/>
          <w:szCs w:val="28"/>
        </w:rPr>
        <w:t>dose. This permits maintenance of adequate peak plasma concentrations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5FD6">
        <w:rPr>
          <w:rFonts w:asciiTheme="majorBidi" w:hAnsiTheme="majorBidi" w:cstheme="majorBidi"/>
          <w:sz w:val="28"/>
          <w:szCs w:val="28"/>
        </w:rPr>
        <w:t>to ensure efficacy, while allowing for sufficient elimination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5FD6">
        <w:rPr>
          <w:rFonts w:asciiTheme="majorBidi" w:hAnsiTheme="majorBidi" w:cstheme="majorBidi"/>
          <w:sz w:val="28"/>
          <w:szCs w:val="28"/>
        </w:rPr>
        <w:t>between doses to produce trough levels less than 2 mg/L.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5FD6">
        <w:rPr>
          <w:rFonts w:asciiTheme="majorBidi" w:hAnsiTheme="majorBidi" w:cstheme="majorBidi"/>
          <w:sz w:val="28"/>
          <w:szCs w:val="28"/>
        </w:rPr>
        <w:t>The advantages and disadvantages of adjusting the dosing interval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5FD6">
        <w:rPr>
          <w:rFonts w:asciiTheme="majorBidi" w:hAnsiTheme="majorBidi" w:cstheme="majorBidi"/>
          <w:sz w:val="28"/>
          <w:szCs w:val="28"/>
        </w:rPr>
        <w:t xml:space="preserve">versus reducing the dose are summarized in Table </w:t>
      </w:r>
      <w:r>
        <w:rPr>
          <w:rFonts w:asciiTheme="majorBidi" w:hAnsiTheme="majorBidi" w:cstheme="majorBidi"/>
          <w:sz w:val="28"/>
          <w:szCs w:val="28"/>
        </w:rPr>
        <w:t>8-1</w:t>
      </w:r>
      <w:r w:rsidRPr="00B55FD6">
        <w:rPr>
          <w:rFonts w:asciiTheme="majorBidi" w:hAnsiTheme="majorBidi" w:cstheme="majorBidi"/>
          <w:sz w:val="28"/>
          <w:szCs w:val="28"/>
        </w:rPr>
        <w:t>.</w:t>
      </w:r>
    </w:p>
    <w:p w14:paraId="66C217CF" w14:textId="77777777" w:rsidR="00911DD5" w:rsidRDefault="00911DD5" w:rsidP="00911DD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A26DDEF" w14:textId="7BC84C41" w:rsidR="00CE4A28" w:rsidRDefault="00CE4A28" w:rsidP="00B55F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4A28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Table </w:t>
      </w:r>
      <w:r w:rsidR="00B55FD6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CE4A28">
        <w:rPr>
          <w:rFonts w:asciiTheme="majorBidi" w:hAnsiTheme="majorBidi" w:cstheme="majorBidi"/>
          <w:b/>
          <w:bCs/>
          <w:sz w:val="28"/>
          <w:szCs w:val="28"/>
        </w:rPr>
        <w:t xml:space="preserve">-1: </w:t>
      </w:r>
      <w:r w:rsidR="00B55FD6" w:rsidRPr="00B55FD6">
        <w:rPr>
          <w:rFonts w:asciiTheme="majorBidi" w:hAnsiTheme="majorBidi" w:cstheme="majorBidi"/>
          <w:b/>
          <w:bCs/>
          <w:sz w:val="28"/>
          <w:szCs w:val="28"/>
        </w:rPr>
        <w:t>Advantages and Disadvantages of General Approaches to Dosing Adjustments in Renal Disease</w:t>
      </w:r>
      <w:r w:rsidRPr="00CE4A28"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284"/>
      </w:tblGrid>
      <w:tr w:rsidR="00B55FD6" w14:paraId="66F51DE4" w14:textId="77777777" w:rsidTr="00B55FD6">
        <w:tc>
          <w:tcPr>
            <w:tcW w:w="2628" w:type="dxa"/>
          </w:tcPr>
          <w:p w14:paraId="357B87DA" w14:textId="21107ECB" w:rsidR="00B55FD6" w:rsidRP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6">
              <w:rPr>
                <w:rFonts w:ascii="Times New Roman" w:hAnsi="Times New Roman" w:cs="Times New Roman"/>
                <w:sz w:val="28"/>
                <w:szCs w:val="28"/>
              </w:rPr>
              <w:t xml:space="preserve">Method </w:t>
            </w:r>
          </w:p>
        </w:tc>
        <w:tc>
          <w:tcPr>
            <w:tcW w:w="2610" w:type="dxa"/>
          </w:tcPr>
          <w:p w14:paraId="5F178E02" w14:textId="07F60EFE" w:rsidR="00B55FD6" w:rsidRP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6">
              <w:rPr>
                <w:rFonts w:ascii="Times New Roman" w:hAnsi="Times New Roman" w:cs="Times New Roman"/>
                <w:sz w:val="28"/>
                <w:szCs w:val="28"/>
              </w:rPr>
              <w:t xml:space="preserve">Advantages </w:t>
            </w:r>
          </w:p>
        </w:tc>
        <w:tc>
          <w:tcPr>
            <w:tcW w:w="3284" w:type="dxa"/>
          </w:tcPr>
          <w:p w14:paraId="25AFDE6F" w14:textId="05A9CFF0" w:rsidR="00B55FD6" w:rsidRP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6">
              <w:rPr>
                <w:rFonts w:ascii="Times New Roman" w:hAnsi="Times New Roman" w:cs="Times New Roman"/>
                <w:sz w:val="28"/>
                <w:szCs w:val="28"/>
              </w:rPr>
              <w:t>Disadvantages</w:t>
            </w:r>
          </w:p>
        </w:tc>
      </w:tr>
      <w:tr w:rsidR="00B55FD6" w14:paraId="1FA424F5" w14:textId="77777777" w:rsidTr="00AF49A7">
        <w:tc>
          <w:tcPr>
            <w:tcW w:w="8522" w:type="dxa"/>
            <w:gridSpan w:val="3"/>
          </w:tcPr>
          <w:p w14:paraId="4047DADD" w14:textId="4DC04186" w:rsid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55FD6">
              <w:rPr>
                <w:rFonts w:asciiTheme="majorBidi" w:hAnsiTheme="majorBidi" w:cstheme="majorBidi"/>
                <w:sz w:val="28"/>
                <w:szCs w:val="28"/>
              </w:rPr>
              <w:t>Variable Frequency</w:t>
            </w:r>
          </w:p>
        </w:tc>
      </w:tr>
      <w:tr w:rsidR="00B55FD6" w14:paraId="0CF3865E" w14:textId="77777777" w:rsidTr="00B55FD6">
        <w:tc>
          <w:tcPr>
            <w:tcW w:w="2628" w:type="dxa"/>
          </w:tcPr>
          <w:p w14:paraId="772A8838" w14:textId="1FE54425" w:rsid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55FD6">
              <w:rPr>
                <w:rFonts w:asciiTheme="majorBidi" w:hAnsiTheme="majorBidi" w:cstheme="majorBidi"/>
                <w:sz w:val="28"/>
                <w:szCs w:val="28"/>
              </w:rPr>
              <w:t xml:space="preserve">Use the same dose but </w:t>
            </w:r>
            <w:r w:rsidRPr="00B55FD6">
              <w:rPr>
                <w:rFonts w:asciiTheme="majorBidi" w:hAnsiTheme="majorBidi" w:cstheme="majorBidi" w:hint="eastAsia"/>
                <w:sz w:val="28"/>
                <w:szCs w:val="28"/>
              </w:rPr>
              <w:t>↑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 xml:space="preserve"> the dosing interval</w:t>
            </w:r>
          </w:p>
        </w:tc>
        <w:tc>
          <w:tcPr>
            <w:tcW w:w="2610" w:type="dxa"/>
          </w:tcPr>
          <w:p w14:paraId="4B8F25C7" w14:textId="77777777" w:rsidR="00B55FD6" w:rsidRP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55FD6">
              <w:rPr>
                <w:rFonts w:asciiTheme="majorBidi" w:hAnsiTheme="majorBidi" w:cstheme="majorBidi"/>
                <w:sz w:val="28"/>
                <w:szCs w:val="28"/>
              </w:rPr>
              <w:t>Same Cp</w:t>
            </w:r>
            <w:r w:rsidRPr="00B55FD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ave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>, Cp</w:t>
            </w:r>
            <w:r w:rsidRPr="00B55FD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max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>, Cp</w:t>
            </w:r>
            <w:r w:rsidRPr="00B55FD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min</w:t>
            </w:r>
          </w:p>
          <w:p w14:paraId="35B8B58B" w14:textId="4DA91D6E" w:rsid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55FD6">
              <w:rPr>
                <w:rFonts w:asciiTheme="majorBidi" w:hAnsiTheme="majorBidi" w:cstheme="majorBidi"/>
                <w:sz w:val="28"/>
                <w:szCs w:val="28"/>
              </w:rPr>
              <w:t>Normal dose</w:t>
            </w:r>
          </w:p>
        </w:tc>
        <w:tc>
          <w:tcPr>
            <w:tcW w:w="3284" w:type="dxa"/>
          </w:tcPr>
          <w:p w14:paraId="0A19703D" w14:textId="5399F6F7" w:rsid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55FD6">
              <w:rPr>
                <w:rFonts w:asciiTheme="majorBidi" w:hAnsiTheme="majorBidi" w:cstheme="majorBidi"/>
                <w:sz w:val="28"/>
                <w:szCs w:val="28"/>
              </w:rPr>
              <w:t>Levels may remain subtherapeutic for prolonged periods in patients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 xml:space="preserve">requiring dosing intervals </w:t>
            </w:r>
            <w:r w:rsidRPr="00B55FD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>24 hr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B55FD6" w14:paraId="4BEA5280" w14:textId="77777777" w:rsidTr="00A33711">
        <w:tc>
          <w:tcPr>
            <w:tcW w:w="8522" w:type="dxa"/>
            <w:gridSpan w:val="3"/>
          </w:tcPr>
          <w:p w14:paraId="102DE657" w14:textId="7EF04A2B" w:rsid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55FD6">
              <w:rPr>
                <w:rFonts w:asciiTheme="majorBidi" w:hAnsiTheme="majorBidi" w:cstheme="majorBidi"/>
                <w:sz w:val="28"/>
                <w:szCs w:val="28"/>
              </w:rPr>
              <w:t>Variable Dose With Fixed Cp</w:t>
            </w:r>
            <w:r w:rsidRPr="00B55FD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ave</w:t>
            </w:r>
          </w:p>
        </w:tc>
      </w:tr>
      <w:tr w:rsidR="00B55FD6" w14:paraId="54245772" w14:textId="77777777" w:rsidTr="00B55FD6">
        <w:tc>
          <w:tcPr>
            <w:tcW w:w="2628" w:type="dxa"/>
          </w:tcPr>
          <w:p w14:paraId="776BC97F" w14:textId="00F23090" w:rsid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55FD6">
              <w:rPr>
                <w:rFonts w:asciiTheme="majorBidi" w:hAnsiTheme="majorBidi" w:cstheme="majorBidi" w:hint="eastAsia"/>
                <w:sz w:val="28"/>
                <w:szCs w:val="28"/>
              </w:rPr>
              <w:t>↓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 xml:space="preserve"> Dose to maintain a target Cp</w:t>
            </w:r>
            <w:r w:rsidRPr="00B55FD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ave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>; keep the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>dosing interval the same</w:t>
            </w:r>
          </w:p>
        </w:tc>
        <w:tc>
          <w:tcPr>
            <w:tcW w:w="2610" w:type="dxa"/>
          </w:tcPr>
          <w:p w14:paraId="5D04E220" w14:textId="77777777" w:rsidR="00B55FD6" w:rsidRP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55FD6">
              <w:rPr>
                <w:rFonts w:asciiTheme="majorBidi" w:hAnsiTheme="majorBidi" w:cstheme="majorBidi"/>
                <w:sz w:val="28"/>
                <w:szCs w:val="28"/>
              </w:rPr>
              <w:t>Same Cp</w:t>
            </w:r>
            <w:r w:rsidRPr="00B55FD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ave</w:t>
            </w:r>
          </w:p>
          <w:p w14:paraId="7D1DF489" w14:textId="27294B8B" w:rsid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Normal dosing 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>interval</w:t>
            </w:r>
          </w:p>
        </w:tc>
        <w:tc>
          <w:tcPr>
            <w:tcW w:w="3284" w:type="dxa"/>
          </w:tcPr>
          <w:p w14:paraId="013B1F17" w14:textId="18519B2D" w:rsid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55FD6">
              <w:rPr>
                <w:rFonts w:asciiTheme="majorBidi" w:hAnsiTheme="majorBidi" w:cstheme="majorBidi" w:hint="eastAsia"/>
                <w:sz w:val="28"/>
                <w:szCs w:val="28"/>
              </w:rPr>
              <w:t>↓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 xml:space="preserve"> Peak levels, which may </w:t>
            </w:r>
            <w:r w:rsidRPr="00B55FD6">
              <w:rPr>
                <w:rFonts w:asciiTheme="majorBidi" w:hAnsiTheme="majorBidi" w:cstheme="majorBidi" w:hint="eastAsia"/>
                <w:sz w:val="28"/>
                <w:szCs w:val="28"/>
              </w:rPr>
              <w:t>↑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 xml:space="preserve"> be subtherapeutic; </w:t>
            </w:r>
            <w:r w:rsidRPr="00B55FD6">
              <w:rPr>
                <w:rFonts w:asciiTheme="majorBidi" w:hAnsiTheme="majorBidi" w:cstheme="majorBidi" w:hint="eastAsia"/>
                <w:sz w:val="28"/>
                <w:szCs w:val="28"/>
              </w:rPr>
              <w:t>↑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 xml:space="preserve"> trough levels,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 xml:space="preserve">which may </w:t>
            </w:r>
            <w:r w:rsidRPr="00B55FD6">
              <w:rPr>
                <w:rFonts w:asciiTheme="majorBidi" w:hAnsiTheme="majorBidi" w:cstheme="majorBidi" w:hint="eastAsia"/>
                <w:sz w:val="28"/>
                <w:szCs w:val="28"/>
              </w:rPr>
              <w:t>↑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 xml:space="preserve"> be potential for toxicity</w:t>
            </w:r>
          </w:p>
        </w:tc>
      </w:tr>
      <w:tr w:rsidR="00B55FD6" w14:paraId="5BADB341" w14:textId="77777777" w:rsidTr="00423CA3">
        <w:tc>
          <w:tcPr>
            <w:tcW w:w="8522" w:type="dxa"/>
            <w:gridSpan w:val="3"/>
          </w:tcPr>
          <w:p w14:paraId="54E7CCEE" w14:textId="778DA436" w:rsidR="00B55FD6" w:rsidRDefault="00B55FD6" w:rsidP="00B55FD6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55FD6">
              <w:rPr>
                <w:rFonts w:asciiTheme="majorBidi" w:hAnsiTheme="majorBidi" w:cstheme="majorBidi"/>
                <w:sz w:val="28"/>
                <w:szCs w:val="28"/>
              </w:rPr>
              <w:t>Cp</w:t>
            </w:r>
            <w:r w:rsidRPr="00B55FD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ave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>, average plasma concentration; Cp</w:t>
            </w:r>
            <w:r w:rsidRPr="00B55FD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max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>, maximum plasma concentration; Cp</w:t>
            </w:r>
            <w:r w:rsidRPr="00B55FD6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min</w:t>
            </w:r>
            <w:r w:rsidRPr="00B55FD6">
              <w:rPr>
                <w:rFonts w:asciiTheme="majorBidi" w:hAnsiTheme="majorBidi" w:cstheme="majorBidi"/>
                <w:sz w:val="28"/>
                <w:szCs w:val="28"/>
              </w:rPr>
              <w:t>, minimum plasma concentration.</w:t>
            </w:r>
          </w:p>
        </w:tc>
      </w:tr>
    </w:tbl>
    <w:p w14:paraId="5E74F614" w14:textId="77777777" w:rsidR="00637B24" w:rsidRDefault="00637B24" w:rsidP="00A631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620020F" w14:textId="044BFA87" w:rsidR="00637B24" w:rsidRDefault="00B55FD6" w:rsidP="00B55F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5FD6">
        <w:rPr>
          <w:rFonts w:asciiTheme="majorBidi" w:hAnsiTheme="majorBidi" w:cstheme="majorBidi"/>
          <w:sz w:val="28"/>
          <w:szCs w:val="28"/>
        </w:rPr>
        <w:t xml:space="preserve">Figure </w:t>
      </w:r>
      <w:r>
        <w:rPr>
          <w:rFonts w:asciiTheme="majorBidi" w:hAnsiTheme="majorBidi" w:cstheme="majorBidi"/>
          <w:sz w:val="28"/>
          <w:szCs w:val="28"/>
        </w:rPr>
        <w:t>8</w:t>
      </w:r>
      <w:r w:rsidRPr="00B55FD6">
        <w:rPr>
          <w:rFonts w:asciiTheme="majorBidi" w:hAnsiTheme="majorBidi" w:cstheme="majorBidi"/>
          <w:sz w:val="28"/>
          <w:szCs w:val="28"/>
        </w:rPr>
        <w:t>-1 illustrates the effect of increasing the dosing interval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5FD6">
        <w:rPr>
          <w:rFonts w:asciiTheme="majorBidi" w:hAnsiTheme="majorBidi" w:cstheme="majorBidi"/>
          <w:sz w:val="28"/>
          <w:szCs w:val="28"/>
        </w:rPr>
        <w:t>in a patient such as G.G. with renal function that is 30%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5FD6">
        <w:rPr>
          <w:rFonts w:asciiTheme="majorBidi" w:hAnsiTheme="majorBidi" w:cstheme="majorBidi"/>
          <w:sz w:val="28"/>
          <w:szCs w:val="28"/>
        </w:rPr>
        <w:t>of normal. Although this is the preferred method for adjusting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5FD6">
        <w:rPr>
          <w:rFonts w:asciiTheme="majorBidi" w:hAnsiTheme="majorBidi" w:cstheme="majorBidi"/>
          <w:sz w:val="28"/>
          <w:szCs w:val="28"/>
        </w:rPr>
        <w:t>the dose of aminoglycosides, for many other drugs requiring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5FD6">
        <w:rPr>
          <w:rFonts w:asciiTheme="majorBidi" w:hAnsiTheme="majorBidi" w:cstheme="majorBidi"/>
          <w:sz w:val="28"/>
          <w:szCs w:val="28"/>
        </w:rPr>
        <w:t>dose adjustments in renal disease, simple dosage reduction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5FD6">
        <w:rPr>
          <w:rFonts w:asciiTheme="majorBidi" w:hAnsiTheme="majorBidi" w:cstheme="majorBidi"/>
          <w:sz w:val="28"/>
          <w:szCs w:val="28"/>
        </w:rPr>
        <w:t>sufficient.</w:t>
      </w:r>
    </w:p>
    <w:p w14:paraId="5E1BD613" w14:textId="79519B08" w:rsidR="00637B24" w:rsidRDefault="00637B24" w:rsidP="00637B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AB57406" w14:textId="1802A323" w:rsidR="00B9632D" w:rsidRDefault="00B9632D" w:rsidP="00B9632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9632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92638C5" wp14:editId="37BE03CA">
            <wp:extent cx="4721634" cy="3161489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587" cy="320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01D75" w14:textId="7541D33C" w:rsidR="003E665B" w:rsidRPr="003E665B" w:rsidRDefault="00B9632D" w:rsidP="00B55F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Figure 8</w:t>
      </w:r>
      <w:r w:rsidR="003E665B" w:rsidRPr="003E665B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2A156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B55FD6" w:rsidRPr="00B55FD6">
        <w:rPr>
          <w:rFonts w:asciiTheme="majorBidi" w:hAnsiTheme="majorBidi" w:cstheme="majorBidi"/>
          <w:b/>
          <w:bCs/>
          <w:sz w:val="28"/>
          <w:szCs w:val="28"/>
        </w:rPr>
        <w:t>Serum concentration versus time profile for a</w:t>
      </w:r>
      <w:r w:rsidR="00B55F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55FD6" w:rsidRPr="00B55FD6">
        <w:rPr>
          <w:rFonts w:asciiTheme="majorBidi" w:hAnsiTheme="majorBidi" w:cstheme="majorBidi"/>
          <w:b/>
          <w:bCs/>
          <w:sz w:val="28"/>
          <w:szCs w:val="28"/>
        </w:rPr>
        <w:t>patient with renal function 30% of normal in whom the interval of</w:t>
      </w:r>
      <w:r w:rsidR="00B55FD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55FD6" w:rsidRPr="00B55FD6">
        <w:rPr>
          <w:rFonts w:asciiTheme="majorBidi" w:hAnsiTheme="majorBidi" w:cstheme="majorBidi"/>
          <w:b/>
          <w:bCs/>
          <w:sz w:val="28"/>
          <w:szCs w:val="28"/>
        </w:rPr>
        <w:t>drug administration has be</w:t>
      </w:r>
      <w:r w:rsidR="00B55FD6">
        <w:rPr>
          <w:rFonts w:asciiTheme="majorBidi" w:hAnsiTheme="majorBidi" w:cstheme="majorBidi"/>
          <w:b/>
          <w:bCs/>
          <w:sz w:val="28"/>
          <w:szCs w:val="28"/>
        </w:rPr>
        <w:t>en extended for dose adjustment</w:t>
      </w:r>
      <w:r w:rsidR="003E665B" w:rsidRPr="003E665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0B88C3A8" w14:textId="77777777" w:rsidR="00637B24" w:rsidRDefault="00637B24" w:rsidP="00A46E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A3D69B" w14:textId="59CBC0C1" w:rsidR="00B9632D" w:rsidRPr="00B46638" w:rsidRDefault="00B9632D" w:rsidP="00B963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0070C0"/>
          <w:sz w:val="32"/>
          <w:szCs w:val="32"/>
        </w:rPr>
        <w:t xml:space="preserve">Determination of Appropriate Dose </w:t>
      </w:r>
    </w:p>
    <w:p w14:paraId="01FCA964" w14:textId="383896B3" w:rsidR="00756AA1" w:rsidRDefault="00EE0EFA" w:rsidP="00EE0EF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E0EFA">
        <w:rPr>
          <w:rFonts w:asciiTheme="majorBidi" w:hAnsiTheme="majorBidi" w:cstheme="majorBidi"/>
          <w:sz w:val="28"/>
          <w:szCs w:val="28"/>
        </w:rPr>
        <w:t>A number of methods have been developed to determine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0EFA">
        <w:rPr>
          <w:rFonts w:asciiTheme="majorBidi" w:hAnsiTheme="majorBidi" w:cstheme="majorBidi"/>
          <w:sz w:val="28"/>
          <w:szCs w:val="28"/>
        </w:rPr>
        <w:t>appropriate aminoglycoside dose for patients. One method is</w:t>
      </w:r>
      <w:r w:rsidRPr="00EE0EFA">
        <w:rPr>
          <w:rFonts w:ascii="DanteMT-Regular" w:hAnsi="DanteMT-Regular" w:cs="DanteMT-Regular"/>
          <w:sz w:val="20"/>
          <w:szCs w:val="20"/>
        </w:rPr>
        <w:t xml:space="preserve"> </w:t>
      </w:r>
      <w:r w:rsidRPr="00EE0EFA">
        <w:rPr>
          <w:rFonts w:asciiTheme="majorBidi" w:hAnsiTheme="majorBidi" w:cstheme="majorBidi"/>
          <w:sz w:val="28"/>
          <w:szCs w:val="28"/>
        </w:rPr>
        <w:t>Bayesian forecasting, in which pharmacokinetic data obtained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0EFA">
        <w:rPr>
          <w:rFonts w:asciiTheme="majorBidi" w:hAnsiTheme="majorBidi" w:cstheme="majorBidi"/>
          <w:sz w:val="28"/>
          <w:szCs w:val="28"/>
        </w:rPr>
        <w:t>in the individual patient are integrated with population parameters.</w:t>
      </w:r>
    </w:p>
    <w:p w14:paraId="189B3B19" w14:textId="77777777" w:rsidR="00EE0EFA" w:rsidRDefault="00EE0EFA" w:rsidP="00EE0EF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15EB00" w14:textId="2AEBC704" w:rsidR="00A46ED6" w:rsidRPr="00A46ED6" w:rsidRDefault="00EE0EFA" w:rsidP="00A46E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Patient-Specific Methods</w:t>
      </w:r>
    </w:p>
    <w:p w14:paraId="4D955E77" w14:textId="15C4F0BA" w:rsidR="008744C6" w:rsidRPr="008744C6" w:rsidRDefault="00EE0EFA" w:rsidP="008744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E0EFA">
        <w:rPr>
          <w:rFonts w:asciiTheme="majorBidi" w:hAnsiTheme="majorBidi" w:cstheme="majorBidi"/>
          <w:sz w:val="28"/>
          <w:szCs w:val="28"/>
        </w:rPr>
        <w:t xml:space="preserve">Sawchuk </w:t>
      </w:r>
      <w:r w:rsidRPr="00EE0EFA">
        <w:rPr>
          <w:rFonts w:asciiTheme="majorBidi" w:hAnsiTheme="majorBidi" w:cstheme="majorBidi"/>
          <w:i/>
          <w:iCs/>
          <w:sz w:val="28"/>
          <w:szCs w:val="28"/>
        </w:rPr>
        <w:t>et al</w:t>
      </w:r>
      <w:r w:rsidRPr="00EE0EFA">
        <w:rPr>
          <w:rFonts w:asciiTheme="majorBidi" w:hAnsiTheme="majorBidi" w:cstheme="majorBidi"/>
          <w:sz w:val="28"/>
          <w:szCs w:val="28"/>
        </w:rPr>
        <w:t>. developed a method to derive patient-specific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0EFA">
        <w:rPr>
          <w:rFonts w:asciiTheme="majorBidi" w:hAnsiTheme="majorBidi" w:cstheme="majorBidi"/>
          <w:sz w:val="28"/>
          <w:szCs w:val="28"/>
        </w:rPr>
        <w:t>estimates of Vd and clearance based on the patient’s size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0EFA">
        <w:rPr>
          <w:rFonts w:asciiTheme="majorBidi" w:hAnsiTheme="majorBidi" w:cstheme="majorBidi"/>
          <w:sz w:val="28"/>
          <w:szCs w:val="28"/>
        </w:rPr>
        <w:t>estimated CrCl. These parameters can be used to calculate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0EFA">
        <w:rPr>
          <w:rFonts w:asciiTheme="majorBidi" w:hAnsiTheme="majorBidi" w:cstheme="majorBidi"/>
          <w:sz w:val="28"/>
          <w:szCs w:val="28"/>
        </w:rPr>
        <w:t>specific dose for G.G. that will produce the desired gentamicin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0EFA">
        <w:rPr>
          <w:rFonts w:asciiTheme="majorBidi" w:hAnsiTheme="majorBidi" w:cstheme="majorBidi"/>
          <w:sz w:val="28"/>
          <w:szCs w:val="28"/>
        </w:rPr>
        <w:t>peak and trough concentrations. If steady-state serum concentrations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0EFA">
        <w:rPr>
          <w:rFonts w:asciiTheme="majorBidi" w:hAnsiTheme="majorBidi" w:cstheme="majorBidi"/>
          <w:sz w:val="28"/>
          <w:szCs w:val="28"/>
        </w:rPr>
        <w:t>of gentamicin are known, they can be used to calculate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0EFA">
        <w:rPr>
          <w:rFonts w:asciiTheme="majorBidi" w:hAnsiTheme="majorBidi" w:cstheme="majorBidi"/>
          <w:sz w:val="28"/>
          <w:szCs w:val="28"/>
        </w:rPr>
        <w:t>even more-specific parameters. To initiate gentamicin therapy</w:t>
      </w:r>
      <w:r w:rsidR="008744C6">
        <w:rPr>
          <w:rFonts w:asciiTheme="majorBidi" w:hAnsiTheme="majorBidi" w:cstheme="majorBidi"/>
          <w:sz w:val="28"/>
          <w:szCs w:val="28"/>
        </w:rPr>
        <w:t xml:space="preserve">, </w:t>
      </w:r>
      <w:r w:rsidR="008744C6" w:rsidRPr="008744C6">
        <w:rPr>
          <w:rFonts w:asciiTheme="majorBidi" w:hAnsiTheme="majorBidi" w:cstheme="majorBidi"/>
          <w:sz w:val="28"/>
          <w:szCs w:val="28"/>
        </w:rPr>
        <w:t>pharmacokinetic parameters should first be estimated from population</w:t>
      </w:r>
      <w:r w:rsidR="008744C6">
        <w:rPr>
          <w:rFonts w:asciiTheme="majorBidi" w:hAnsiTheme="majorBidi" w:cstheme="majorBidi"/>
          <w:sz w:val="28"/>
          <w:szCs w:val="28"/>
        </w:rPr>
        <w:t xml:space="preserve"> </w:t>
      </w:r>
      <w:r w:rsidR="008744C6" w:rsidRPr="008744C6">
        <w:rPr>
          <w:rFonts w:asciiTheme="majorBidi" w:hAnsiTheme="majorBidi" w:cstheme="majorBidi"/>
          <w:sz w:val="28"/>
          <w:szCs w:val="28"/>
        </w:rPr>
        <w:t>values.</w:t>
      </w:r>
    </w:p>
    <w:p w14:paraId="687E2A49" w14:textId="5FA2AFE9" w:rsidR="00756AA1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44C6">
        <w:rPr>
          <w:rFonts w:asciiTheme="majorBidi" w:hAnsiTheme="majorBidi" w:cstheme="majorBidi"/>
          <w:sz w:val="28"/>
          <w:szCs w:val="28"/>
        </w:rPr>
        <w:t>The clearance of gentamicin (Cl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>) can be calculated based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on G.G.’s CrCl. Using the Cockcroft and Gault equation,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CrCl can be estimated as follows:</w:t>
      </w:r>
    </w:p>
    <w:p w14:paraId="7B11B0DA" w14:textId="6499FDAC" w:rsidR="00BB1143" w:rsidRPr="008744C6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CrCl (males)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 xml:space="preserve">(140 </m:t>
              </m:r>
              <m:r>
                <m:rPr>
                  <m:sty m:val="p"/>
                </m:rPr>
                <w:rPr>
                  <w:rFonts w:ascii="Cambria Math" w:eastAsia="Calibri" w:hAnsi="Cambria Math" w:cs="Cambria Math" w:hint="eastAsia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 xml:space="preserve"> age)(IBW)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(SCr)(72)</m:t>
              </m:r>
            </m:den>
          </m:f>
        </m:oMath>
      </m:oMathPara>
    </w:p>
    <w:p w14:paraId="02A5A1E7" w14:textId="18F062D6" w:rsidR="008744C6" w:rsidRPr="00BB1143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CrCl </m:t>
          </m:r>
          <m:d>
            <m:dPr>
              <m:ctrlPr>
                <w:rPr>
                  <w:rFonts w:ascii="Cambria Math" w:eastAsia="Calibri" w:hAnsi="Cambria Math" w:cs="Times New Roman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females</m:t>
              </m:r>
            </m:e>
          </m:d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 xml:space="preserve">140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Cambria Math" w:hint="eastAsia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 xml:space="preserve"> age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>IBW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>SCr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m:t>72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(0.85)</m:t>
          </m:r>
        </m:oMath>
      </m:oMathPara>
    </w:p>
    <w:p w14:paraId="316C4294" w14:textId="7269412C" w:rsidR="008744C6" w:rsidRPr="008744C6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44C6">
        <w:rPr>
          <w:rFonts w:asciiTheme="majorBidi" w:hAnsiTheme="majorBidi" w:cstheme="majorBidi"/>
          <w:sz w:val="28"/>
          <w:szCs w:val="28"/>
        </w:rPr>
        <w:t>where IBW is ideal body weight in kilograms, age is measured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in years, and SCr is serum creatinine in mg/dL.</w:t>
      </w:r>
    </w:p>
    <w:p w14:paraId="1F852CCE" w14:textId="1B8EBD08" w:rsidR="008744C6" w:rsidRPr="008744C6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44C6">
        <w:rPr>
          <w:rFonts w:asciiTheme="majorBidi" w:hAnsiTheme="majorBidi" w:cstheme="majorBidi"/>
          <w:sz w:val="28"/>
          <w:szCs w:val="28"/>
        </w:rPr>
        <w:t>With a SCr of 3.4 mg/dL, an ideal body weight of 70 kg,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an age of 31 years, G.G.’s estimated CrCl, is 27 mL/minute.</w:t>
      </w:r>
    </w:p>
    <w:p w14:paraId="7945E06A" w14:textId="370D17F4" w:rsidR="008744C6" w:rsidRPr="008744C6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44C6">
        <w:rPr>
          <w:rFonts w:asciiTheme="majorBidi" w:hAnsiTheme="majorBidi" w:cstheme="majorBidi"/>
          <w:sz w:val="28"/>
          <w:szCs w:val="28"/>
        </w:rPr>
        <w:t>For practical purposes, Cl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 xml:space="preserve"> is usually considered equivalent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to CrCl. Therefore, Cl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 xml:space="preserve"> also is approximately 27 mL/minute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1.6 L/hour. The Vd of gentamicin (Vd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>) is approximately 0.25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L/kg in patients with normal or impaired renal function.</w:t>
      </w:r>
    </w:p>
    <w:p w14:paraId="19FD9614" w14:textId="13100F75" w:rsidR="00756AA1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44C6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Vd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 xml:space="preserve"> will be different in obese patients or those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who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fluid overload. Although G.G. does have some fluid retention,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this is minimal and should not affect her Vd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 xml:space="preserve"> significantly.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Therefore, the Vd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 xml:space="preserve"> for G.G. is as follows:</w:t>
      </w:r>
    </w:p>
    <w:p w14:paraId="73D7CD58" w14:textId="1F0A8DBD" w:rsidR="008744C6" w:rsidRPr="008744C6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8744C6">
        <w:rPr>
          <w:rFonts w:asciiTheme="majorBidi" w:hAnsiTheme="majorBidi" w:cstheme="majorBidi"/>
          <w:sz w:val="28"/>
          <w:szCs w:val="28"/>
        </w:rPr>
        <w:t>Vd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 xml:space="preserve"> = (0.25 L/kg)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(body weight)</w:t>
      </w:r>
    </w:p>
    <w:p w14:paraId="38ED8FFF" w14:textId="14D20F08" w:rsidR="008744C6" w:rsidRPr="008744C6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= (0.25 L/kg)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(70 kg)</w:t>
      </w:r>
    </w:p>
    <w:p w14:paraId="0CB9FA30" w14:textId="28CE62EB" w:rsidR="008744C6" w:rsidRPr="008744C6" w:rsidRDefault="008744C6" w:rsidP="008744C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 w:rsidRPr="008744C6">
        <w:rPr>
          <w:rFonts w:asciiTheme="majorBidi" w:hAnsiTheme="majorBidi" w:cstheme="majorBidi"/>
          <w:sz w:val="28"/>
          <w:szCs w:val="28"/>
        </w:rPr>
        <w:t>= 17</w:t>
      </w:r>
      <w:r w:rsidRPr="008744C6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8744C6">
        <w:rPr>
          <w:rFonts w:asciiTheme="majorBidi" w:hAnsiTheme="majorBidi" w:cstheme="majorBidi"/>
          <w:sz w:val="28"/>
          <w:szCs w:val="28"/>
        </w:rPr>
        <w:t>5 L</w:t>
      </w:r>
    </w:p>
    <w:p w14:paraId="385D0F39" w14:textId="6C923C35" w:rsidR="008744C6" w:rsidRPr="008744C6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44C6">
        <w:rPr>
          <w:rFonts w:asciiTheme="majorBidi" w:hAnsiTheme="majorBidi" w:cstheme="majorBidi"/>
          <w:sz w:val="28"/>
          <w:szCs w:val="28"/>
        </w:rPr>
        <w:t>The loading dose of gentamicin (LD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>) can be determined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using the following equation:</w:t>
      </w:r>
    </w:p>
    <w:p w14:paraId="651DC3D7" w14:textId="19DC3F8A" w:rsidR="008744C6" w:rsidRPr="008744C6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8744C6">
        <w:rPr>
          <w:rFonts w:asciiTheme="majorBidi" w:hAnsiTheme="majorBidi" w:cstheme="majorBidi"/>
          <w:sz w:val="28"/>
          <w:szCs w:val="28"/>
        </w:rPr>
        <w:t>LD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 xml:space="preserve"> = (Vd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(desired Cp</w:t>
      </w:r>
      <w:r w:rsidRPr="008744C6">
        <w:rPr>
          <w:rFonts w:asciiTheme="majorBidi" w:hAnsiTheme="majorBidi" w:cstheme="majorBidi"/>
          <w:sz w:val="28"/>
          <w:szCs w:val="28"/>
          <w:vertAlign w:val="subscript"/>
        </w:rPr>
        <w:t>peak</w:t>
      </w:r>
      <w:r w:rsidRPr="008744C6">
        <w:rPr>
          <w:rFonts w:asciiTheme="majorBidi" w:hAnsiTheme="majorBidi" w:cstheme="majorBidi"/>
          <w:sz w:val="28"/>
          <w:szCs w:val="28"/>
        </w:rPr>
        <w:t>)</w:t>
      </w:r>
    </w:p>
    <w:p w14:paraId="05825C8E" w14:textId="462C8706" w:rsidR="008744C6" w:rsidRPr="008744C6" w:rsidRDefault="008744C6" w:rsidP="008744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44C6">
        <w:rPr>
          <w:rFonts w:asciiTheme="majorBidi" w:hAnsiTheme="majorBidi" w:cstheme="majorBidi"/>
          <w:sz w:val="28"/>
          <w:szCs w:val="28"/>
        </w:rPr>
        <w:t xml:space="preserve">For treatment of infections caused by </w:t>
      </w:r>
      <w:r w:rsidRPr="008744C6">
        <w:rPr>
          <w:rFonts w:asciiTheme="majorBidi" w:hAnsiTheme="majorBidi" w:cstheme="majorBidi"/>
          <w:i/>
          <w:iCs/>
          <w:sz w:val="28"/>
          <w:szCs w:val="28"/>
        </w:rPr>
        <w:t xml:space="preserve">Pseudomonas </w:t>
      </w:r>
      <w:r w:rsidRPr="008744C6">
        <w:rPr>
          <w:rFonts w:asciiTheme="majorBidi" w:hAnsiTheme="majorBidi" w:cstheme="majorBidi"/>
          <w:sz w:val="28"/>
          <w:szCs w:val="28"/>
        </w:rPr>
        <w:t>species,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peak level of approximately 6 to 8 mg/L is desired:</w:t>
      </w:r>
    </w:p>
    <w:p w14:paraId="75256C01" w14:textId="07528CB6" w:rsidR="008744C6" w:rsidRPr="008744C6" w:rsidRDefault="008744C6" w:rsidP="00E014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744C6">
        <w:rPr>
          <w:rFonts w:asciiTheme="majorBidi" w:hAnsiTheme="majorBidi" w:cstheme="majorBidi"/>
          <w:sz w:val="28"/>
          <w:szCs w:val="28"/>
        </w:rPr>
        <w:lastRenderedPageBreak/>
        <w:t>LD</w:t>
      </w:r>
      <w:r w:rsidRPr="00E0144F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 xml:space="preserve"> = (17</w:t>
      </w:r>
      <w:r w:rsidRPr="008744C6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8744C6">
        <w:rPr>
          <w:rFonts w:asciiTheme="majorBidi" w:hAnsiTheme="majorBidi" w:cstheme="majorBidi"/>
          <w:sz w:val="28"/>
          <w:szCs w:val="28"/>
        </w:rPr>
        <w:t>5 L)</w:t>
      </w:r>
      <w:r w:rsidR="00E0144F"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(7 mg</w:t>
      </w:r>
      <w:r w:rsidRPr="008744C6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8744C6">
        <w:rPr>
          <w:rFonts w:asciiTheme="majorBidi" w:hAnsiTheme="majorBidi" w:cstheme="majorBidi"/>
          <w:sz w:val="28"/>
          <w:szCs w:val="28"/>
        </w:rPr>
        <w:t>L)</w:t>
      </w:r>
    </w:p>
    <w:p w14:paraId="37AD59F3" w14:textId="5472E65E" w:rsidR="008744C6" w:rsidRPr="008744C6" w:rsidRDefault="00EA6E95" w:rsidP="00E014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="00E0144F">
        <w:rPr>
          <w:rFonts w:asciiTheme="majorBidi" w:hAnsiTheme="majorBidi" w:cstheme="majorBidi"/>
          <w:sz w:val="28"/>
          <w:szCs w:val="28"/>
        </w:rPr>
        <w:t xml:space="preserve">    </w:t>
      </w:r>
      <w:r w:rsidR="008744C6" w:rsidRPr="008744C6">
        <w:rPr>
          <w:rFonts w:asciiTheme="majorBidi" w:hAnsiTheme="majorBidi" w:cstheme="majorBidi"/>
          <w:sz w:val="28"/>
          <w:szCs w:val="28"/>
        </w:rPr>
        <w:t>= 122</w:t>
      </w:r>
      <w:r w:rsidR="008744C6" w:rsidRPr="008744C6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8744C6" w:rsidRPr="008744C6">
        <w:rPr>
          <w:rFonts w:asciiTheme="majorBidi" w:hAnsiTheme="majorBidi" w:cstheme="majorBidi"/>
          <w:sz w:val="28"/>
          <w:szCs w:val="28"/>
        </w:rPr>
        <w:t>5 mg or round off to 120 mg</w:t>
      </w:r>
    </w:p>
    <w:p w14:paraId="7AE5E85A" w14:textId="209C46C5" w:rsidR="00756AA1" w:rsidRDefault="008744C6" w:rsidP="00E014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744C6">
        <w:rPr>
          <w:rFonts w:asciiTheme="majorBidi" w:hAnsiTheme="majorBidi" w:cstheme="majorBidi"/>
          <w:sz w:val="28"/>
          <w:szCs w:val="28"/>
        </w:rPr>
        <w:t>Using Cl</w:t>
      </w:r>
      <w:r w:rsidRPr="00E0144F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 xml:space="preserve"> and Vd</w:t>
      </w:r>
      <w:r w:rsidRPr="00E0144F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8744C6">
        <w:rPr>
          <w:rFonts w:asciiTheme="majorBidi" w:hAnsiTheme="majorBidi" w:cstheme="majorBidi"/>
          <w:sz w:val="28"/>
          <w:szCs w:val="28"/>
        </w:rPr>
        <w:t>, the elimination rate constant (Kd)</w:t>
      </w:r>
      <w:r w:rsidR="00E0144F">
        <w:rPr>
          <w:rFonts w:asciiTheme="majorBidi" w:hAnsiTheme="majorBidi" w:cstheme="majorBidi"/>
          <w:sz w:val="28"/>
          <w:szCs w:val="28"/>
        </w:rPr>
        <w:t xml:space="preserve"> </w:t>
      </w:r>
      <w:r w:rsidRPr="008744C6">
        <w:rPr>
          <w:rFonts w:asciiTheme="majorBidi" w:hAnsiTheme="majorBidi" w:cstheme="majorBidi"/>
          <w:sz w:val="28"/>
          <w:szCs w:val="28"/>
        </w:rPr>
        <w:t>and half-life for gentamicin can be estimated as follows:</w:t>
      </w:r>
    </w:p>
    <w:p w14:paraId="70185170" w14:textId="260488D4" w:rsidR="00BB1143" w:rsidRPr="008A0796" w:rsidRDefault="00E0144F" w:rsidP="00E014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Kd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Cl</m:t>
              </m:r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  <w:vertAlign w:val="subscript"/>
                </w:rPr>
                <m:t>gent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Vd</m:t>
              </m:r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  <w:vertAlign w:val="subscript"/>
                </w:rPr>
                <m:t>gent</m:t>
              </m:r>
            </m:den>
          </m:f>
        </m:oMath>
      </m:oMathPara>
    </w:p>
    <w:p w14:paraId="1701F82C" w14:textId="6FCCCBDD" w:rsidR="00E0144F" w:rsidRPr="00E0144F" w:rsidRDefault="00E0144F" w:rsidP="00E014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    </w:t>
      </w:r>
      <m:oMath>
        <m:r>
          <w:rPr>
            <w:rFonts w:ascii="Cambria Math" w:eastAsia="Calibri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Cambria Math"/>
                <w:sz w:val="32"/>
                <w:szCs w:val="32"/>
              </w:rPr>
              <m:t>1</m:t>
            </m:r>
            <m:r>
              <w:rPr>
                <w:rFonts w:ascii="Cambria Math" w:eastAsia="Calibri" w:hAnsi="Cambria Math" w:cs="Cambria Math"/>
                <w:sz w:val="32"/>
                <w:szCs w:val="32"/>
              </w:rPr>
              <m:t>.</m:t>
            </m:r>
            <m:r>
              <m:rPr>
                <m:sty m:val="p"/>
              </m:rPr>
              <w:rPr>
                <w:rFonts w:ascii="Cambria Math" w:eastAsia="Calibri" w:hAnsi="Cambria Math" w:cs="Cambria Math"/>
                <w:sz w:val="32"/>
                <w:szCs w:val="32"/>
              </w:rPr>
              <m:t>6 L</m:t>
            </m:r>
            <m:r>
              <w:rPr>
                <w:rFonts w:ascii="Cambria Math" w:eastAsia="Calibri" w:hAnsi="Cambria Math" w:cs="Cambria Math"/>
                <w:sz w:val="32"/>
                <w:szCs w:val="32"/>
              </w:rPr>
              <m:t>/</m:t>
            </m:r>
            <m:r>
              <m:rPr>
                <m:sty m:val="p"/>
              </m:rPr>
              <w:rPr>
                <w:rFonts w:ascii="Cambria Math" w:eastAsia="Calibri" w:hAnsi="Cambria Math" w:cs="Cambria Math"/>
                <w:sz w:val="32"/>
                <w:szCs w:val="32"/>
              </w:rPr>
              <m:t>hour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Cambria Math"/>
                <w:sz w:val="32"/>
                <w:szCs w:val="32"/>
              </w:rPr>
              <m:t>17.5 L</m:t>
            </m:r>
          </m:den>
        </m:f>
      </m:oMath>
    </w:p>
    <w:p w14:paraId="054994F4" w14:textId="77777777" w:rsidR="00E0144F" w:rsidRDefault="00E0144F" w:rsidP="00E014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Pr="00E0144F">
        <w:rPr>
          <w:rFonts w:asciiTheme="majorBidi" w:hAnsiTheme="majorBidi" w:cstheme="majorBidi"/>
          <w:sz w:val="28"/>
          <w:szCs w:val="28"/>
        </w:rPr>
        <w:t>= 0</w:t>
      </w:r>
      <w:r w:rsidRPr="00E0144F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E0144F">
        <w:rPr>
          <w:rFonts w:asciiTheme="majorBidi" w:hAnsiTheme="majorBidi" w:cstheme="majorBidi"/>
          <w:sz w:val="28"/>
          <w:szCs w:val="28"/>
        </w:rPr>
        <w:t>091 hour</w:t>
      </w:r>
      <w:r w:rsidRPr="00E0144F">
        <w:rPr>
          <w:rFonts w:asciiTheme="majorBidi" w:hAnsiTheme="majorBidi" w:cstheme="majorBidi" w:hint="eastAsia"/>
          <w:sz w:val="28"/>
          <w:szCs w:val="28"/>
          <w:vertAlign w:val="superscript"/>
        </w:rPr>
        <w:t>−</w:t>
      </w:r>
      <w:r w:rsidRPr="00E0144F">
        <w:rPr>
          <w:rFonts w:asciiTheme="majorBidi" w:hAnsiTheme="majorBidi" w:cstheme="majorBidi"/>
          <w:sz w:val="28"/>
          <w:szCs w:val="28"/>
          <w:vertAlign w:val="superscript"/>
        </w:rPr>
        <w:t>1</w:t>
      </w:r>
    </w:p>
    <w:p w14:paraId="022F9E4C" w14:textId="41416842" w:rsidR="00E0144F" w:rsidRPr="00E0144F" w:rsidRDefault="00E0144F" w:rsidP="00E014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t1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/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2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0.693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4"/>
                  <w:szCs w:val="24"/>
                </w:rPr>
                <m:t>Kd</m:t>
              </m:r>
            </m:den>
          </m:f>
        </m:oMath>
      </m:oMathPara>
    </w:p>
    <w:p w14:paraId="77D88361" w14:textId="12A269B8" w:rsidR="00E0144F" w:rsidRPr="00E0144F" w:rsidRDefault="00E0144F" w:rsidP="00E014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                     </w:t>
      </w:r>
      <m:oMath>
        <m:r>
          <w:rPr>
            <w:rFonts w:ascii="Cambria Math" w:eastAsia="Calibri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Cambria Math"/>
                <w:sz w:val="32"/>
                <w:szCs w:val="32"/>
              </w:rPr>
              <m:t>0.693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 xml:space="preserve">0.091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32"/>
                <w:szCs w:val="32"/>
              </w:rPr>
              <m:t>hour</m:t>
            </m:r>
            <m:r>
              <m:rPr>
                <m:sty m:val="p"/>
              </m:rPr>
              <w:rPr>
                <w:rFonts w:ascii="Cambria Math" w:eastAsia="Calibri" w:hAnsi="Cambria Math" w:cs="Times New Roman" w:hint="eastAsia"/>
                <w:sz w:val="32"/>
                <w:szCs w:val="32"/>
                <w:vertAlign w:val="superscript"/>
              </w:rPr>
              <m:t>-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32"/>
                <w:szCs w:val="32"/>
                <w:vertAlign w:val="superscript"/>
              </w:rPr>
              <m:t>1</m:t>
            </m:r>
          </m:den>
        </m:f>
      </m:oMath>
    </w:p>
    <w:p w14:paraId="4835074D" w14:textId="7A729991" w:rsidR="00E0144F" w:rsidRDefault="00E0144F" w:rsidP="00E0144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Pr="00E0144F">
        <w:rPr>
          <w:rFonts w:asciiTheme="majorBidi" w:hAnsiTheme="majorBidi" w:cstheme="majorBidi"/>
          <w:sz w:val="28"/>
          <w:szCs w:val="28"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>7.6</w:t>
      </w:r>
      <w:r w:rsidRPr="00E0144F">
        <w:rPr>
          <w:rFonts w:asciiTheme="majorBidi" w:hAnsiTheme="majorBidi" w:cstheme="majorBidi"/>
          <w:sz w:val="28"/>
          <w:szCs w:val="28"/>
        </w:rPr>
        <w:t xml:space="preserve"> hour</w:t>
      </w:r>
    </w:p>
    <w:p w14:paraId="24AAA9B6" w14:textId="49DDCBDF" w:rsidR="00DB3292" w:rsidRPr="00DB3292" w:rsidRDefault="00DB3292" w:rsidP="00DB32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B3292">
        <w:rPr>
          <w:rFonts w:asciiTheme="majorBidi" w:hAnsiTheme="majorBidi" w:cstheme="majorBidi"/>
          <w:sz w:val="28"/>
          <w:szCs w:val="28"/>
        </w:rPr>
        <w:t>For the aminoglycosides, the dosing interval (</w:t>
      </w:r>
      <w:r>
        <w:rPr>
          <w:rFonts w:asciiTheme="majorBidi" w:hAnsiTheme="majorBidi" w:cstheme="majorBidi"/>
          <w:i/>
          <w:iCs/>
          <w:sz w:val="28"/>
          <w:szCs w:val="28"/>
        </w:rPr>
        <w:t>τ</w:t>
      </w:r>
      <w:r w:rsidRPr="00DB3292">
        <w:rPr>
          <w:rFonts w:asciiTheme="majorBidi" w:hAnsiTheme="majorBidi" w:cstheme="majorBidi"/>
          <w:sz w:val="28"/>
          <w:szCs w:val="28"/>
        </w:rPr>
        <w:t>) is determined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by doubling the half-life because by the end of two half-lives, 75%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of the drug will have been eliminated. This will usually lead to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desired trough level of less than 2 mg/L. Therefore, gentamicin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should be administered at least every 16 hours. For convenience,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an interval of 24 hours can be used, which also will achieve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desired trough concentration.</w:t>
      </w:r>
    </w:p>
    <w:p w14:paraId="4B03D4D0" w14:textId="0F7963D6" w:rsidR="00DB3292" w:rsidRPr="00DB3292" w:rsidRDefault="00DB3292" w:rsidP="00DB32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B3292">
        <w:rPr>
          <w:rFonts w:asciiTheme="majorBidi" w:hAnsiTheme="majorBidi" w:cstheme="majorBidi"/>
          <w:sz w:val="28"/>
          <w:szCs w:val="28"/>
        </w:rPr>
        <w:t>Gentamicin is usually infused for 30 minutes. To determine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the peak gentamicin concentration, serum samples are drawn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30 minutes after the infusion has been completed. Because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estimated elimination half-life of gentamicin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G.G. (7.6 hours)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much longer than the infusion time (0.5 hours), the intravenous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bolus model can be used to calculate an appropriate maintenance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dose.</w:t>
      </w:r>
    </w:p>
    <w:p w14:paraId="607B1FB1" w14:textId="30ED8632" w:rsidR="00DB3292" w:rsidRDefault="00DB3292" w:rsidP="00DB329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B3292">
        <w:rPr>
          <w:rFonts w:asciiTheme="majorBidi" w:hAnsiTheme="majorBidi" w:cstheme="majorBidi"/>
          <w:sz w:val="28"/>
          <w:szCs w:val="28"/>
        </w:rPr>
        <w:t>To achieve the peak concentration of 7 mg/L, the following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292">
        <w:rPr>
          <w:rFonts w:asciiTheme="majorBidi" w:hAnsiTheme="majorBidi" w:cstheme="majorBidi"/>
          <w:sz w:val="28"/>
          <w:szCs w:val="28"/>
        </w:rPr>
        <w:t>equation can be used:</w:t>
      </w:r>
    </w:p>
    <w:p w14:paraId="419F2299" w14:textId="360A1BC1" w:rsidR="00DB3292" w:rsidRPr="00DB3292" w:rsidRDefault="00A33D4D" w:rsidP="00A33D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</w:rPr>
            <m:t>Dose</m:t>
          </m:r>
          <m:r>
            <w:rPr>
              <w:rFonts w:ascii="Cambria Math" w:hAnsi="Cambria Math" w:cstheme="majorBidi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nteMT-Regular"/>
                </w:rPr>
                <m:t>(Cp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peak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 xml:space="preserve">)(1 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MTSY" w:hAnsi="Cambria Math" w:cs="MTSY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>e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16"/>
                  <w:szCs w:val="1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Kdt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>)(Vd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gent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nteMT-Regular"/>
                </w:rPr>
                <m:t>(e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16"/>
                  <w:szCs w:val="1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Kdt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2"/>
                  <w:szCs w:val="12"/>
                </w:rPr>
                <m:t xml:space="preserve">sample 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>)</m:t>
              </m:r>
            </m:den>
          </m:f>
        </m:oMath>
      </m:oMathPara>
    </w:p>
    <w:p w14:paraId="41F98D81" w14:textId="55BF7629" w:rsidR="00756AA1" w:rsidRPr="00BB1143" w:rsidRDefault="00A33D4D" w:rsidP="00A33D4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nteMT-Regular"/>
                </w:rPr>
                <m:t>(7 mg</m:t>
              </m:r>
              <m:r>
                <w:rPr>
                  <w:rFonts w:ascii="Cambria Math" w:hAnsi="Cambria Math" w:cs="RMTMI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 xml:space="preserve">L)(1 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MTSY" w:hAnsi="Cambria Math" w:cs="MTSY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>e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16"/>
                  <w:szCs w:val="1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(0</m:t>
              </m:r>
              <m:r>
                <w:rPr>
                  <w:rFonts w:ascii="Cambria Math" w:hAnsi="Cambria Math" w:cs="RMTMI"/>
                  <w:sz w:val="16"/>
                  <w:szCs w:val="16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091 hour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12"/>
                  <w:szCs w:val="1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2"/>
                  <w:szCs w:val="12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)(24 hour)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>)(17</m:t>
              </m:r>
              <m:r>
                <w:rPr>
                  <w:rFonts w:ascii="Cambria Math" w:hAnsi="Cambria Math" w:cs="RMTMI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>5 L)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nteMT-Regular"/>
                </w:rPr>
                <m:t>(e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16"/>
                  <w:szCs w:val="1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(0</m:t>
              </m:r>
              <m:r>
                <w:rPr>
                  <w:rFonts w:ascii="Cambria Math" w:hAnsi="Cambria Math" w:cs="RMTMI"/>
                  <w:sz w:val="16"/>
                  <w:szCs w:val="16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091 hour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12"/>
                  <w:szCs w:val="1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2"/>
                  <w:szCs w:val="12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)(1 hour)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>)</m:t>
              </m:r>
            </m:den>
          </m:f>
        </m:oMath>
      </m:oMathPara>
    </w:p>
    <w:p w14:paraId="1986EE5F" w14:textId="77777777" w:rsidR="00F61100" w:rsidRDefault="00F61100" w:rsidP="00F61100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125D4F24" w14:textId="586FCDDC" w:rsidR="00A33D4D" w:rsidRDefault="00A33D4D" w:rsidP="00A33D4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0144F">
        <w:rPr>
          <w:rFonts w:asciiTheme="majorBidi" w:hAnsiTheme="majorBidi" w:cstheme="majorBidi"/>
          <w:sz w:val="28"/>
          <w:szCs w:val="28"/>
        </w:rPr>
        <w:t xml:space="preserve">= </w:t>
      </w:r>
      <w:r w:rsidRPr="00A33D4D">
        <w:rPr>
          <w:rFonts w:asciiTheme="majorBidi" w:hAnsiTheme="majorBidi" w:cstheme="majorBidi"/>
          <w:sz w:val="28"/>
          <w:szCs w:val="28"/>
        </w:rPr>
        <w:t>119</w:t>
      </w:r>
      <w:r w:rsidRPr="00A33D4D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A33D4D">
        <w:rPr>
          <w:rFonts w:asciiTheme="majorBidi" w:hAnsiTheme="majorBidi" w:cstheme="majorBidi"/>
          <w:sz w:val="28"/>
          <w:szCs w:val="28"/>
        </w:rPr>
        <w:t>2 mg</w:t>
      </w:r>
    </w:p>
    <w:p w14:paraId="0874D534" w14:textId="6C7B8744" w:rsidR="00A33D4D" w:rsidRDefault="00A33D4D" w:rsidP="00A33D4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E0144F">
        <w:rPr>
          <w:rFonts w:asciiTheme="majorBidi" w:hAnsiTheme="majorBidi" w:cstheme="majorBidi"/>
          <w:sz w:val="28"/>
          <w:szCs w:val="28"/>
        </w:rPr>
        <w:t xml:space="preserve">= </w:t>
      </w:r>
      <w:r w:rsidRPr="00A33D4D">
        <w:rPr>
          <w:rFonts w:asciiTheme="majorBidi" w:hAnsiTheme="majorBidi" w:cstheme="majorBidi"/>
          <w:sz w:val="28"/>
          <w:szCs w:val="28"/>
        </w:rPr>
        <w:t>or round off to 120 mg</w:t>
      </w:r>
    </w:p>
    <w:p w14:paraId="7A078D93" w14:textId="69F7AD94" w:rsidR="00A33D4D" w:rsidRPr="00A33D4D" w:rsidRDefault="00A33D4D" w:rsidP="00A33D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3D4D">
        <w:rPr>
          <w:rFonts w:asciiTheme="majorBidi" w:hAnsiTheme="majorBidi" w:cstheme="majorBidi"/>
          <w:sz w:val="28"/>
          <w:szCs w:val="28"/>
        </w:rPr>
        <w:t xml:space="preserve">where </w:t>
      </w:r>
      <w:r w:rsidRPr="00A33D4D">
        <w:rPr>
          <w:rFonts w:asciiTheme="majorBidi" w:hAnsiTheme="majorBidi" w:cstheme="majorBidi"/>
          <w:i/>
          <w:iCs/>
          <w:sz w:val="28"/>
          <w:szCs w:val="28"/>
        </w:rPr>
        <w:t>t</w:t>
      </w:r>
      <w:r w:rsidRPr="00A33D4D">
        <w:rPr>
          <w:rFonts w:asciiTheme="majorBidi" w:hAnsiTheme="majorBidi" w:cstheme="majorBidi"/>
          <w:sz w:val="28"/>
          <w:szCs w:val="28"/>
          <w:vertAlign w:val="subscript"/>
        </w:rPr>
        <w:t>sample</w:t>
      </w:r>
      <w:r w:rsidRPr="00A33D4D">
        <w:rPr>
          <w:rFonts w:asciiTheme="majorBidi" w:hAnsiTheme="majorBidi" w:cstheme="majorBidi"/>
          <w:sz w:val="28"/>
          <w:szCs w:val="28"/>
        </w:rPr>
        <w:t xml:space="preserve"> usually equals 1 hour (30 minutes after a 30-minute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3D4D">
        <w:rPr>
          <w:rFonts w:asciiTheme="majorBidi" w:hAnsiTheme="majorBidi" w:cstheme="majorBidi"/>
          <w:sz w:val="28"/>
          <w:szCs w:val="28"/>
        </w:rPr>
        <w:t>infusion).</w:t>
      </w:r>
    </w:p>
    <w:p w14:paraId="5A0131F0" w14:textId="330C5E6F" w:rsidR="00A33D4D" w:rsidRDefault="00A33D4D" w:rsidP="00444E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3D4D">
        <w:rPr>
          <w:rFonts w:asciiTheme="majorBidi" w:hAnsiTheme="majorBidi" w:cstheme="majorBidi"/>
          <w:sz w:val="28"/>
          <w:szCs w:val="28"/>
        </w:rPr>
        <w:t>The expected trough level in G.G. can now be estimated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3D4D">
        <w:rPr>
          <w:rFonts w:asciiTheme="majorBidi" w:hAnsiTheme="majorBidi" w:cstheme="majorBidi"/>
          <w:sz w:val="28"/>
          <w:szCs w:val="28"/>
        </w:rPr>
        <w:t>the following equation:</w:t>
      </w:r>
    </w:p>
    <w:p w14:paraId="4BE08D85" w14:textId="68096BF1" w:rsidR="00A33D4D" w:rsidRPr="00A33D4D" w:rsidRDefault="00A33D4D" w:rsidP="00A33D4D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33D4D">
        <w:rPr>
          <w:rFonts w:asciiTheme="majorBidi" w:hAnsiTheme="majorBidi" w:cstheme="majorBidi"/>
          <w:sz w:val="28"/>
          <w:szCs w:val="28"/>
        </w:rPr>
        <w:t>Cp</w:t>
      </w:r>
      <w:r w:rsidRPr="00A33D4D">
        <w:rPr>
          <w:rFonts w:asciiTheme="majorBidi" w:hAnsiTheme="majorBidi" w:cstheme="majorBidi"/>
          <w:sz w:val="28"/>
          <w:szCs w:val="28"/>
          <w:vertAlign w:val="subscript"/>
        </w:rPr>
        <w:t>trough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3D4D">
        <w:rPr>
          <w:rFonts w:asciiTheme="majorBidi" w:hAnsiTheme="majorBidi" w:cstheme="majorBidi"/>
          <w:sz w:val="28"/>
          <w:szCs w:val="28"/>
        </w:rPr>
        <w:t>= (Cp</w:t>
      </w:r>
      <w:r w:rsidRPr="00A33D4D">
        <w:rPr>
          <w:rFonts w:asciiTheme="majorBidi" w:hAnsiTheme="majorBidi" w:cstheme="majorBidi"/>
          <w:sz w:val="28"/>
          <w:szCs w:val="28"/>
          <w:vertAlign w:val="subscript"/>
        </w:rPr>
        <w:t>peak</w:t>
      </w:r>
      <w:r w:rsidRPr="00A33D4D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3D4D">
        <w:rPr>
          <w:rFonts w:asciiTheme="majorBidi" w:hAnsiTheme="majorBidi" w:cstheme="majorBidi"/>
          <w:sz w:val="28"/>
          <w:szCs w:val="28"/>
        </w:rPr>
        <w:t>(e</w:t>
      </w:r>
      <w:r w:rsidRPr="00A33D4D">
        <w:rPr>
          <w:rFonts w:asciiTheme="majorBidi" w:hAnsiTheme="majorBidi" w:cstheme="majorBidi" w:hint="eastAsia"/>
          <w:sz w:val="28"/>
          <w:szCs w:val="28"/>
          <w:vertAlign w:val="superscript"/>
        </w:rPr>
        <w:t>−</w:t>
      </w:r>
      <w:r w:rsidRPr="00A33D4D">
        <w:rPr>
          <w:rFonts w:asciiTheme="majorBidi" w:hAnsiTheme="majorBidi" w:cstheme="majorBidi"/>
          <w:sz w:val="28"/>
          <w:szCs w:val="28"/>
          <w:vertAlign w:val="superscript"/>
        </w:rPr>
        <w:t>Kdtsample</w:t>
      </w:r>
      <w:r w:rsidRPr="00A33D4D">
        <w:rPr>
          <w:rFonts w:asciiTheme="majorBidi" w:hAnsiTheme="majorBidi" w:cstheme="majorBidi"/>
          <w:sz w:val="28"/>
          <w:szCs w:val="28"/>
        </w:rPr>
        <w:t>)</w:t>
      </w:r>
    </w:p>
    <w:p w14:paraId="00A1F9BE" w14:textId="656C2866" w:rsidR="00A33D4D" w:rsidRPr="00A33D4D" w:rsidRDefault="00A33D4D" w:rsidP="00A33D4D">
      <w:pPr>
        <w:bidi w:val="0"/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Pr="00A33D4D">
        <w:rPr>
          <w:rFonts w:asciiTheme="majorBidi" w:hAnsiTheme="majorBidi" w:cstheme="majorBidi"/>
          <w:sz w:val="28"/>
          <w:szCs w:val="28"/>
        </w:rPr>
        <w:t>= (7 mg</w:t>
      </w:r>
      <w:r w:rsidRPr="00A33D4D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A33D4D">
        <w:rPr>
          <w:rFonts w:asciiTheme="majorBidi" w:hAnsiTheme="majorBidi" w:cstheme="majorBidi"/>
          <w:sz w:val="28"/>
          <w:szCs w:val="28"/>
        </w:rPr>
        <w:t>L)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3D4D">
        <w:rPr>
          <w:rFonts w:asciiTheme="majorBidi" w:hAnsiTheme="majorBidi" w:cstheme="majorBidi"/>
          <w:sz w:val="28"/>
          <w:szCs w:val="28"/>
        </w:rPr>
        <w:t>(e</w:t>
      </w:r>
      <w:r w:rsidRPr="00A33D4D">
        <w:rPr>
          <w:rFonts w:asciiTheme="majorBidi" w:hAnsiTheme="majorBidi" w:cstheme="majorBidi" w:hint="eastAsia"/>
          <w:sz w:val="28"/>
          <w:szCs w:val="28"/>
          <w:vertAlign w:val="superscript"/>
        </w:rPr>
        <w:t>−</w:t>
      </w:r>
      <w:r w:rsidRPr="00A33D4D">
        <w:rPr>
          <w:rFonts w:asciiTheme="majorBidi" w:hAnsiTheme="majorBidi" w:cstheme="majorBidi"/>
          <w:sz w:val="28"/>
          <w:szCs w:val="28"/>
          <w:vertAlign w:val="superscript"/>
        </w:rPr>
        <w:t>(0</w:t>
      </w:r>
      <w:r w:rsidRPr="00A33D4D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.</w:t>
      </w:r>
      <w:r w:rsidRPr="00A33D4D">
        <w:rPr>
          <w:rFonts w:asciiTheme="majorBidi" w:hAnsiTheme="majorBidi" w:cstheme="majorBidi"/>
          <w:sz w:val="28"/>
          <w:szCs w:val="28"/>
          <w:vertAlign w:val="superscript"/>
        </w:rPr>
        <w:t>091 hour</w:t>
      </w:r>
      <w:r w:rsidRPr="00A33D4D">
        <w:rPr>
          <w:rFonts w:asciiTheme="majorBidi" w:hAnsiTheme="majorBidi" w:cstheme="majorBidi" w:hint="eastAsia"/>
          <w:sz w:val="28"/>
          <w:szCs w:val="28"/>
          <w:vertAlign w:val="superscript"/>
        </w:rPr>
        <w:t>−</w:t>
      </w:r>
      <w:r w:rsidRPr="00A33D4D">
        <w:rPr>
          <w:rFonts w:asciiTheme="majorBidi" w:hAnsiTheme="majorBidi" w:cstheme="majorBidi"/>
          <w:sz w:val="28"/>
          <w:szCs w:val="28"/>
          <w:vertAlign w:val="superscript"/>
        </w:rPr>
        <w:t>1) (24 hours)</w:t>
      </w:r>
      <w:r w:rsidRPr="00A33D4D">
        <w:rPr>
          <w:rFonts w:asciiTheme="majorBidi" w:hAnsiTheme="majorBidi" w:cstheme="majorBidi"/>
          <w:sz w:val="28"/>
          <w:szCs w:val="28"/>
        </w:rPr>
        <w:t>)</w:t>
      </w:r>
    </w:p>
    <w:p w14:paraId="2BF2655A" w14:textId="2EF78505" w:rsidR="00A33D4D" w:rsidRDefault="00A33D4D" w:rsidP="008A0796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</w:t>
      </w:r>
      <w:r w:rsidRPr="00A33D4D">
        <w:rPr>
          <w:rFonts w:asciiTheme="majorBidi" w:hAnsiTheme="majorBidi" w:cstheme="majorBidi"/>
          <w:sz w:val="28"/>
          <w:szCs w:val="28"/>
        </w:rPr>
        <w:t>= 0</w:t>
      </w:r>
      <w:r w:rsidRPr="00A33D4D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A33D4D">
        <w:rPr>
          <w:rFonts w:asciiTheme="majorBidi" w:hAnsiTheme="majorBidi" w:cstheme="majorBidi"/>
          <w:sz w:val="28"/>
          <w:szCs w:val="28"/>
        </w:rPr>
        <w:t>8 mg</w:t>
      </w:r>
      <w:r w:rsidRPr="00A33D4D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A33D4D">
        <w:rPr>
          <w:rFonts w:asciiTheme="majorBidi" w:hAnsiTheme="majorBidi" w:cstheme="majorBidi"/>
          <w:sz w:val="28"/>
          <w:szCs w:val="28"/>
        </w:rPr>
        <w:t>L</w:t>
      </w:r>
    </w:p>
    <w:p w14:paraId="749AD5A0" w14:textId="0A8FB86D" w:rsidR="00A33D4D" w:rsidRPr="00B46638" w:rsidRDefault="00A33D4D" w:rsidP="00A33D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0070C0"/>
          <w:sz w:val="32"/>
          <w:szCs w:val="32"/>
        </w:rPr>
        <w:lastRenderedPageBreak/>
        <w:t>Revised Parameters</w:t>
      </w:r>
    </w:p>
    <w:p w14:paraId="60EF0D16" w14:textId="67AC59AD" w:rsidR="00A33D4D" w:rsidRDefault="001D6FD7" w:rsidP="00444E2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D6FD7">
        <w:rPr>
          <w:rFonts w:asciiTheme="majorBidi" w:hAnsiTheme="majorBidi" w:cstheme="majorBidi"/>
          <w:sz w:val="28"/>
          <w:szCs w:val="28"/>
        </w:rPr>
        <w:t>After 72 hours of gentamicin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therapy, G.G.’s peak and trough levels are 7.6 and 2.6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mg/L, respectively. Her physician attributes this to a gradual</w:t>
      </w:r>
      <w:r w:rsidR="00444E2E"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decline in renal function. (Her most recent SCr is 4.8 mg/dL.)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How would you revise G.G.’s dosing regimen based on these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levels?</w:t>
      </w:r>
    </w:p>
    <w:p w14:paraId="7540451F" w14:textId="77777777" w:rsidR="001D6FD7" w:rsidRDefault="001D6FD7" w:rsidP="001D6FD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178A43D" w14:textId="050B976C" w:rsidR="001D6FD7" w:rsidRDefault="001D6FD7" w:rsidP="001D6FD7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D6FD7">
        <w:rPr>
          <w:rFonts w:asciiTheme="majorBidi" w:hAnsiTheme="majorBidi" w:cstheme="majorBidi"/>
          <w:sz w:val="28"/>
          <w:szCs w:val="28"/>
        </w:rPr>
        <w:t>A gentamicin trough level of more than 2 mg/L suggests that</w:t>
      </w:r>
      <w:r>
        <w:rPr>
          <w:rFonts w:asciiTheme="majorBidi" w:hAnsiTheme="majorBidi" w:cstheme="majorBidi"/>
          <w:sz w:val="28"/>
          <w:szCs w:val="28"/>
        </w:rPr>
        <w:t xml:space="preserve"> G.G.’s </w:t>
      </w:r>
      <w:r w:rsidRPr="001D6FD7">
        <w:rPr>
          <w:rFonts w:asciiTheme="majorBidi" w:hAnsiTheme="majorBidi" w:cstheme="majorBidi"/>
          <w:sz w:val="28"/>
          <w:szCs w:val="28"/>
        </w:rPr>
        <w:t>dosing interval is too short. Although her peak concentration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is within the normal range of 5 to 8 mg/L, her trough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concentration indicates that she is at a potentially toxic level.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Her pharmacokinetic parameters can be revised based on these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values, and a new Kd can be estimated from the following equation:</w:t>
      </w:r>
    </w:p>
    <w:p w14:paraId="28BCB82B" w14:textId="2274ECCE" w:rsidR="001D6FD7" w:rsidRPr="001D6FD7" w:rsidRDefault="001D6FD7" w:rsidP="001D6FD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Kd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CP1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CP2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Δt</m:t>
              </m:r>
            </m:den>
          </m:f>
        </m:oMath>
      </m:oMathPara>
    </w:p>
    <w:p w14:paraId="7AAD4E15" w14:textId="74BC2A6B" w:rsidR="001D6FD7" w:rsidRPr="001D6FD7" w:rsidRDefault="001D6FD7" w:rsidP="001D6FD7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7.6 mg/mL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2.6 mg/mL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23 hours</m:t>
              </m:r>
            </m:den>
          </m:f>
        </m:oMath>
      </m:oMathPara>
    </w:p>
    <w:p w14:paraId="5FE2C271" w14:textId="1ACA8EC9" w:rsidR="001D6FD7" w:rsidRDefault="001D6FD7" w:rsidP="001D6FD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r w:rsidRPr="00A33D4D">
        <w:rPr>
          <w:rFonts w:asciiTheme="majorBidi" w:hAnsiTheme="majorBidi" w:cstheme="majorBidi"/>
          <w:sz w:val="28"/>
          <w:szCs w:val="28"/>
        </w:rPr>
        <w:t>= 0</w:t>
      </w:r>
      <w:r w:rsidRPr="00A33D4D">
        <w:rPr>
          <w:rFonts w:asciiTheme="majorBidi" w:hAnsiTheme="majorBidi" w:cstheme="majorBidi"/>
          <w:i/>
          <w:i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047</w:t>
      </w:r>
      <w:r w:rsidRPr="00A33D4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hour</w:t>
      </w:r>
      <w:r w:rsidRPr="001D6FD7">
        <w:rPr>
          <w:rFonts w:asciiTheme="majorBidi" w:hAnsiTheme="majorBidi" w:cstheme="majorBidi"/>
          <w:sz w:val="28"/>
          <w:szCs w:val="28"/>
          <w:vertAlign w:val="superscript"/>
        </w:rPr>
        <w:t>-1</w:t>
      </w:r>
    </w:p>
    <w:p w14:paraId="71B4447A" w14:textId="7ADFFE1E" w:rsidR="001D6FD7" w:rsidRDefault="001D6FD7" w:rsidP="001D6FD7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D6FD7">
        <w:rPr>
          <w:rFonts w:asciiTheme="majorBidi" w:hAnsiTheme="majorBidi" w:cstheme="majorBidi"/>
          <w:sz w:val="28"/>
          <w:szCs w:val="28"/>
        </w:rPr>
        <w:t>Because little change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G.G.’s Vd</w:t>
      </w:r>
      <w:r w:rsidRPr="001D6FD7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1D6FD7">
        <w:rPr>
          <w:rFonts w:asciiTheme="majorBidi" w:hAnsiTheme="majorBidi" w:cstheme="majorBidi"/>
          <w:sz w:val="28"/>
          <w:szCs w:val="28"/>
        </w:rPr>
        <w:t xml:space="preserve"> is expected, a new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Cl</w:t>
      </w:r>
      <w:r w:rsidRPr="001D6FD7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(Cl</w:t>
      </w:r>
      <w:r w:rsidRPr="001D6FD7">
        <w:rPr>
          <w:rFonts w:asciiTheme="majorBidi" w:hAnsiTheme="majorBidi" w:cstheme="majorBidi"/>
          <w:sz w:val="28"/>
          <w:szCs w:val="28"/>
          <w:vertAlign w:val="subscript"/>
        </w:rPr>
        <w:t>revised</w:t>
      </w:r>
      <w:r w:rsidRPr="001D6FD7">
        <w:rPr>
          <w:rFonts w:asciiTheme="majorBidi" w:hAnsiTheme="majorBidi" w:cstheme="majorBidi"/>
          <w:sz w:val="28"/>
          <w:szCs w:val="28"/>
        </w:rPr>
        <w:t>) can be estimated from her revised elimination constant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(if necessary, a revised Vd</w:t>
      </w:r>
      <w:r w:rsidRPr="001D6FD7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1D6FD7">
        <w:rPr>
          <w:rFonts w:asciiTheme="majorBidi" w:hAnsiTheme="majorBidi" w:cstheme="majorBidi"/>
          <w:sz w:val="28"/>
          <w:szCs w:val="28"/>
        </w:rPr>
        <w:t xml:space="preserve"> could be calculated, keeping Cl</w:t>
      </w:r>
      <w:r w:rsidRPr="001D6FD7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1D6FD7">
        <w:rPr>
          <w:rFonts w:ascii="DanteMT-Regular" w:hAnsi="DanteMT-Regular" w:cs="DanteMT-Regular"/>
          <w:sz w:val="20"/>
          <w:szCs w:val="20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constant, although the clearance is more likely to change than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D6FD7">
        <w:rPr>
          <w:rFonts w:asciiTheme="majorBidi" w:hAnsiTheme="majorBidi" w:cstheme="majorBidi"/>
          <w:sz w:val="28"/>
          <w:szCs w:val="28"/>
        </w:rPr>
        <w:t>the volume of distribution):</w:t>
      </w:r>
    </w:p>
    <w:p w14:paraId="7A7C64E5" w14:textId="77777777" w:rsidR="00DE2862" w:rsidRPr="00DE2862" w:rsidRDefault="00DE2862" w:rsidP="00DE2862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DE2862">
        <w:rPr>
          <w:rFonts w:asciiTheme="majorBidi" w:hAnsiTheme="majorBidi" w:cstheme="majorBidi"/>
          <w:sz w:val="28"/>
          <w:szCs w:val="28"/>
        </w:rPr>
        <w:t>Cl</w:t>
      </w:r>
      <w:r w:rsidRPr="00DE2862">
        <w:rPr>
          <w:rFonts w:asciiTheme="majorBidi" w:hAnsiTheme="majorBidi" w:cstheme="majorBidi"/>
          <w:sz w:val="28"/>
          <w:szCs w:val="28"/>
          <w:vertAlign w:val="subscript"/>
        </w:rPr>
        <w:t>revised</w:t>
      </w:r>
      <w:r w:rsidRPr="00DE2862">
        <w:rPr>
          <w:rFonts w:asciiTheme="majorBidi" w:hAnsiTheme="majorBidi" w:cstheme="majorBidi"/>
          <w:sz w:val="28"/>
          <w:szCs w:val="28"/>
        </w:rPr>
        <w:t xml:space="preserve"> = (Vd</w:t>
      </w:r>
      <w:r w:rsidRPr="00DE2862">
        <w:rPr>
          <w:rFonts w:asciiTheme="majorBidi" w:hAnsiTheme="majorBidi" w:cstheme="majorBidi"/>
          <w:sz w:val="28"/>
          <w:szCs w:val="28"/>
          <w:vertAlign w:val="subscript"/>
        </w:rPr>
        <w:t>gent</w:t>
      </w:r>
      <w:r w:rsidRPr="00DE2862">
        <w:rPr>
          <w:rFonts w:asciiTheme="majorBidi" w:hAnsiTheme="majorBidi" w:cstheme="majorBidi"/>
          <w:sz w:val="28"/>
          <w:szCs w:val="28"/>
        </w:rPr>
        <w:t>)(Kd)</w:t>
      </w:r>
    </w:p>
    <w:p w14:paraId="1137A758" w14:textId="2B8EB7A0" w:rsidR="00DE2862" w:rsidRPr="00DE2862" w:rsidRDefault="00DE2862" w:rsidP="00DE2862">
      <w:pPr>
        <w:bidi w:val="0"/>
        <w:spacing w:after="0" w:line="24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Pr="00DE2862">
        <w:rPr>
          <w:rFonts w:asciiTheme="majorBidi" w:hAnsiTheme="majorBidi" w:cstheme="majorBidi"/>
          <w:sz w:val="28"/>
          <w:szCs w:val="28"/>
        </w:rPr>
        <w:t>= (17</w:t>
      </w:r>
      <w:r w:rsidRPr="00DE2862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DE2862">
        <w:rPr>
          <w:rFonts w:asciiTheme="majorBidi" w:hAnsiTheme="majorBidi" w:cstheme="majorBidi"/>
          <w:sz w:val="28"/>
          <w:szCs w:val="28"/>
        </w:rPr>
        <w:t>5 L)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E2862">
        <w:rPr>
          <w:rFonts w:asciiTheme="majorBidi" w:hAnsiTheme="majorBidi" w:cstheme="majorBidi"/>
          <w:sz w:val="28"/>
          <w:szCs w:val="28"/>
        </w:rPr>
        <w:t>(0</w:t>
      </w:r>
      <w:r w:rsidRPr="00DE2862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DE2862">
        <w:rPr>
          <w:rFonts w:asciiTheme="majorBidi" w:hAnsiTheme="majorBidi" w:cstheme="majorBidi"/>
          <w:sz w:val="28"/>
          <w:szCs w:val="28"/>
        </w:rPr>
        <w:t>047 hour</w:t>
      </w:r>
      <w:r w:rsidRPr="00DE2862">
        <w:rPr>
          <w:rFonts w:asciiTheme="majorBidi" w:hAnsiTheme="majorBidi" w:cstheme="majorBidi" w:hint="eastAsia"/>
          <w:sz w:val="28"/>
          <w:szCs w:val="28"/>
          <w:vertAlign w:val="superscript"/>
        </w:rPr>
        <w:t>−</w:t>
      </w:r>
      <w:r w:rsidRPr="00DE2862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Pr="00DE2862">
        <w:rPr>
          <w:rFonts w:asciiTheme="majorBidi" w:hAnsiTheme="majorBidi" w:cstheme="majorBidi"/>
          <w:sz w:val="28"/>
          <w:szCs w:val="28"/>
        </w:rPr>
        <w:t>)</w:t>
      </w:r>
    </w:p>
    <w:p w14:paraId="7E24CD44" w14:textId="07C54EA4" w:rsidR="00DE2862" w:rsidRDefault="00DE2862" w:rsidP="00DE2862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Pr="00DE2862">
        <w:rPr>
          <w:rFonts w:asciiTheme="majorBidi" w:hAnsiTheme="majorBidi" w:cstheme="majorBidi"/>
          <w:sz w:val="28"/>
          <w:szCs w:val="28"/>
        </w:rPr>
        <w:t>= 0</w:t>
      </w:r>
      <w:r w:rsidRPr="00DE2862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DE2862">
        <w:rPr>
          <w:rFonts w:asciiTheme="majorBidi" w:hAnsiTheme="majorBidi" w:cstheme="majorBidi"/>
          <w:sz w:val="28"/>
          <w:szCs w:val="28"/>
        </w:rPr>
        <w:t>82 L</w:t>
      </w:r>
      <w:r w:rsidRPr="00DE2862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DE2862">
        <w:rPr>
          <w:rFonts w:asciiTheme="majorBidi" w:hAnsiTheme="majorBidi" w:cstheme="majorBidi"/>
          <w:sz w:val="28"/>
          <w:szCs w:val="28"/>
        </w:rPr>
        <w:t>hour</w:t>
      </w:r>
    </w:p>
    <w:p w14:paraId="149BBFB8" w14:textId="3CDBC82F" w:rsidR="00DE2862" w:rsidRDefault="00DE2862" w:rsidP="00B46DDF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E2862">
        <w:rPr>
          <w:rFonts w:asciiTheme="majorBidi" w:hAnsiTheme="majorBidi" w:cstheme="majorBidi"/>
          <w:sz w:val="28"/>
          <w:szCs w:val="28"/>
        </w:rPr>
        <w:t>These revised values for Kd and Cl can now be used to calculate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46DDF">
        <w:rPr>
          <w:rFonts w:asciiTheme="majorBidi" w:hAnsiTheme="majorBidi" w:cstheme="majorBidi"/>
          <w:sz w:val="28"/>
          <w:szCs w:val="28"/>
        </w:rPr>
        <w:t xml:space="preserve">a revised </w:t>
      </w:r>
      <w:r w:rsidRPr="00DE2862">
        <w:rPr>
          <w:rFonts w:asciiTheme="majorBidi" w:hAnsiTheme="majorBidi" w:cstheme="majorBidi"/>
          <w:sz w:val="28"/>
          <w:szCs w:val="28"/>
        </w:rPr>
        <w:t>maintenance dose to maintain the Cp</w:t>
      </w:r>
      <w:r w:rsidRPr="00B46DDF">
        <w:rPr>
          <w:rFonts w:asciiTheme="majorBidi" w:hAnsiTheme="majorBidi" w:cstheme="majorBidi"/>
          <w:sz w:val="28"/>
          <w:szCs w:val="28"/>
          <w:vertAlign w:val="subscript"/>
        </w:rPr>
        <w:t>trough</w:t>
      </w:r>
      <w:r w:rsidRPr="00DE2862">
        <w:rPr>
          <w:rFonts w:asciiTheme="majorBidi" w:hAnsiTheme="majorBidi" w:cstheme="majorBidi"/>
          <w:sz w:val="28"/>
          <w:szCs w:val="28"/>
        </w:rPr>
        <w:t xml:space="preserve"> at less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E2862">
        <w:rPr>
          <w:rFonts w:asciiTheme="majorBidi" w:hAnsiTheme="majorBidi" w:cstheme="majorBidi"/>
          <w:sz w:val="28"/>
          <w:szCs w:val="28"/>
        </w:rPr>
        <w:t>than 2 mg/L:</w:t>
      </w:r>
    </w:p>
    <w:p w14:paraId="3071559D" w14:textId="2009AEC5" w:rsidR="00DE2862" w:rsidRDefault="00DE2862" w:rsidP="00DE2862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</w:rPr>
            <m:t>Dose</m:t>
          </m:r>
          <m:r>
            <w:rPr>
              <w:rFonts w:ascii="Cambria Math" w:hAnsi="Cambria Math" w:cstheme="majorBidi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DanteMT-Regular"/>
                </w:rPr>
                <m:t xml:space="preserve">(7 mg/L)(1 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MTSY" w:hAnsi="Cambria Math" w:cs="MTSY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>e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16"/>
                  <w:szCs w:val="1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(0.047 hour-1) (48 hours)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>)(17.5 L)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DanteMT-Regular"/>
                </w:rPr>
                <m:t>(e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16"/>
                  <w:szCs w:val="1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6"/>
                  <w:szCs w:val="16"/>
                </w:rPr>
                <m:t>(0.047 hour-1) (1 hour)</m:t>
              </m:r>
              <m:r>
                <m:rPr>
                  <m:sty m:val="p"/>
                </m:rPr>
                <w:rPr>
                  <w:rFonts w:ascii="Cambria Math" w:hAnsi="Cambria Math" w:cs="DanteMT-Regular"/>
                  <w:sz w:val="12"/>
                  <w:szCs w:val="1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DanteMT-Regular"/>
                </w:rPr>
                <m:t>)</m:t>
              </m:r>
            </m:den>
          </m:f>
        </m:oMath>
      </m:oMathPara>
    </w:p>
    <w:p w14:paraId="2E828A3E" w14:textId="71D9FD21" w:rsidR="00DE2862" w:rsidRDefault="00DE2862" w:rsidP="00DE2862">
      <w:pPr>
        <w:tabs>
          <w:tab w:val="left" w:pos="2819"/>
        </w:tabs>
        <w:bidi w:val="0"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DE2862">
        <w:rPr>
          <w:rFonts w:asciiTheme="majorBidi" w:hAnsiTheme="majorBidi" w:cstheme="majorBidi"/>
          <w:sz w:val="28"/>
          <w:szCs w:val="28"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>115</w:t>
      </w:r>
      <w:r w:rsidRPr="00DE286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mg</w:t>
      </w:r>
    </w:p>
    <w:p w14:paraId="57C97000" w14:textId="77777777" w:rsidR="00DE2862" w:rsidRDefault="00DE2862" w:rsidP="00DE2862">
      <w:pPr>
        <w:tabs>
          <w:tab w:val="left" w:pos="1685"/>
        </w:tabs>
        <w:bidi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A33D4D">
        <w:rPr>
          <w:rFonts w:asciiTheme="majorBidi" w:hAnsiTheme="majorBidi" w:cstheme="majorBidi"/>
          <w:sz w:val="28"/>
          <w:szCs w:val="28"/>
        </w:rPr>
        <w:t>Cp</w:t>
      </w:r>
      <w:r w:rsidRPr="00A33D4D">
        <w:rPr>
          <w:rFonts w:asciiTheme="majorBidi" w:hAnsiTheme="majorBidi" w:cstheme="majorBidi"/>
          <w:sz w:val="28"/>
          <w:szCs w:val="28"/>
          <w:vertAlign w:val="subscript"/>
        </w:rPr>
        <w:t>trough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3D4D">
        <w:rPr>
          <w:rFonts w:asciiTheme="majorBidi" w:hAnsiTheme="majorBidi" w:cstheme="majorBidi"/>
          <w:sz w:val="28"/>
          <w:szCs w:val="28"/>
        </w:rPr>
        <w:t>= (</w:t>
      </w:r>
      <w:r>
        <w:rPr>
          <w:rFonts w:asciiTheme="majorBidi" w:hAnsiTheme="majorBidi" w:cstheme="majorBidi"/>
          <w:sz w:val="28"/>
          <w:szCs w:val="28"/>
        </w:rPr>
        <w:t>7 mg/L</w:t>
      </w:r>
      <w:r w:rsidRPr="00A33D4D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33D4D">
        <w:rPr>
          <w:rFonts w:asciiTheme="majorBidi" w:hAnsiTheme="majorBidi" w:cstheme="majorBidi"/>
          <w:sz w:val="28"/>
          <w:szCs w:val="28"/>
        </w:rPr>
        <w:t>(e</w:t>
      </w:r>
      <w:r w:rsidRPr="00A33D4D">
        <w:rPr>
          <w:rFonts w:asciiTheme="majorBidi" w:hAnsiTheme="majorBidi" w:cstheme="majorBidi" w:hint="eastAsia"/>
          <w:sz w:val="28"/>
          <w:szCs w:val="28"/>
          <w:vertAlign w:val="superscript"/>
        </w:rPr>
        <w:t>−</w:t>
      </w:r>
      <w:r>
        <w:rPr>
          <w:rFonts w:asciiTheme="majorBidi" w:hAnsiTheme="majorBidi" w:cstheme="majorBidi"/>
          <w:sz w:val="28"/>
          <w:szCs w:val="28"/>
          <w:vertAlign w:val="superscript"/>
        </w:rPr>
        <w:t>(0.047 hour-1) (48 hours)</w:t>
      </w:r>
      <w:r w:rsidRPr="00A33D4D">
        <w:rPr>
          <w:rFonts w:asciiTheme="majorBidi" w:hAnsiTheme="majorBidi" w:cstheme="majorBidi"/>
          <w:sz w:val="28"/>
          <w:szCs w:val="28"/>
        </w:rPr>
        <w:t>)</w:t>
      </w:r>
    </w:p>
    <w:p w14:paraId="4A8564B2" w14:textId="5108B99B" w:rsidR="00DE2862" w:rsidRDefault="00DE2862" w:rsidP="00DE2862">
      <w:pPr>
        <w:tabs>
          <w:tab w:val="left" w:pos="1685"/>
        </w:tabs>
        <w:bidi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DE2862">
        <w:rPr>
          <w:rFonts w:asciiTheme="majorBidi" w:hAnsiTheme="majorBidi" w:cstheme="majorBidi"/>
          <w:sz w:val="28"/>
          <w:szCs w:val="28"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>0.73</w:t>
      </w:r>
      <w:r w:rsidRPr="00DE286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mg/L</w:t>
      </w:r>
    </w:p>
    <w:p w14:paraId="17AA4070" w14:textId="569B7DB4" w:rsidR="00DE2862" w:rsidRPr="00DE2862" w:rsidRDefault="00DE2862" w:rsidP="00DF3BC8">
      <w:pPr>
        <w:tabs>
          <w:tab w:val="left" w:pos="1685"/>
        </w:tabs>
        <w:bidi w:val="0"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DE2862">
        <w:rPr>
          <w:rFonts w:asciiTheme="majorBidi" w:hAnsiTheme="majorBidi" w:cstheme="majorBidi"/>
          <w:sz w:val="28"/>
          <w:szCs w:val="28"/>
        </w:rPr>
        <w:t>The revised dose is now</w:t>
      </w:r>
      <w:r w:rsidR="00B46DDF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DE2862">
        <w:rPr>
          <w:rFonts w:asciiTheme="majorBidi" w:hAnsiTheme="majorBidi" w:cstheme="majorBidi"/>
          <w:sz w:val="28"/>
          <w:szCs w:val="28"/>
        </w:rPr>
        <w:t>115 mg (or</w:t>
      </w:r>
      <w:r w:rsidR="003F30E7">
        <w:rPr>
          <w:rFonts w:asciiTheme="majorBidi" w:hAnsiTheme="majorBidi" w:cstheme="majorBidi"/>
          <w:sz w:val="28"/>
          <w:szCs w:val="28"/>
        </w:rPr>
        <w:t xml:space="preserve"> </w:t>
      </w:r>
      <w:r w:rsidRPr="00DE2862">
        <w:rPr>
          <w:rFonts w:ascii="Cambria Math" w:hAnsi="Cambria Math" w:cs="Cambria Math"/>
          <w:sz w:val="28"/>
          <w:szCs w:val="28"/>
        </w:rPr>
        <w:t>∼</w:t>
      </w:r>
      <w:r w:rsidRPr="00DE2862">
        <w:rPr>
          <w:rFonts w:asciiTheme="majorBidi" w:hAnsiTheme="majorBidi" w:cstheme="majorBidi"/>
          <w:sz w:val="28"/>
          <w:szCs w:val="28"/>
        </w:rPr>
        <w:t>110 mg) every 48 hours</w:t>
      </w:r>
      <w:r w:rsidR="003F30E7">
        <w:rPr>
          <w:rFonts w:asciiTheme="majorBidi" w:hAnsiTheme="majorBidi" w:cstheme="majorBidi"/>
          <w:sz w:val="28"/>
          <w:szCs w:val="28"/>
        </w:rPr>
        <w:t>.</w:t>
      </w:r>
    </w:p>
    <w:sectPr w:rsidR="00DE2862" w:rsidRPr="00DE2862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34216" w14:textId="77777777" w:rsidR="003562E4" w:rsidRDefault="003562E4" w:rsidP="00445810">
      <w:pPr>
        <w:spacing w:after="0" w:line="240" w:lineRule="auto"/>
      </w:pPr>
      <w:r>
        <w:separator/>
      </w:r>
    </w:p>
  </w:endnote>
  <w:endnote w:type="continuationSeparator" w:id="0">
    <w:p w14:paraId="37CF7A5C" w14:textId="77777777" w:rsidR="003562E4" w:rsidRDefault="003562E4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teM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TSY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MTMI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CBA4" w14:textId="77777777" w:rsidR="003562E4" w:rsidRDefault="003562E4" w:rsidP="00445810">
      <w:pPr>
        <w:spacing w:after="0" w:line="240" w:lineRule="auto"/>
      </w:pPr>
      <w:r>
        <w:separator/>
      </w:r>
    </w:p>
  </w:footnote>
  <w:footnote w:type="continuationSeparator" w:id="0">
    <w:p w14:paraId="5780656F" w14:textId="77777777" w:rsidR="003562E4" w:rsidRDefault="003562E4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8650A"/>
    <w:rsid w:val="000A5815"/>
    <w:rsid w:val="001045E6"/>
    <w:rsid w:val="001473FF"/>
    <w:rsid w:val="0015520C"/>
    <w:rsid w:val="001C7385"/>
    <w:rsid w:val="001D6FD7"/>
    <w:rsid w:val="00230BBE"/>
    <w:rsid w:val="002A156A"/>
    <w:rsid w:val="002B5772"/>
    <w:rsid w:val="002C5DE9"/>
    <w:rsid w:val="00313F34"/>
    <w:rsid w:val="0033285D"/>
    <w:rsid w:val="00343BBA"/>
    <w:rsid w:val="003562E4"/>
    <w:rsid w:val="00370729"/>
    <w:rsid w:val="00374603"/>
    <w:rsid w:val="003864C2"/>
    <w:rsid w:val="003E665B"/>
    <w:rsid w:val="003F30E7"/>
    <w:rsid w:val="003F7F4B"/>
    <w:rsid w:val="00404C19"/>
    <w:rsid w:val="00444E2E"/>
    <w:rsid w:val="00445810"/>
    <w:rsid w:val="00453282"/>
    <w:rsid w:val="00466657"/>
    <w:rsid w:val="0051029B"/>
    <w:rsid w:val="00561A63"/>
    <w:rsid w:val="00577F01"/>
    <w:rsid w:val="00584785"/>
    <w:rsid w:val="005879D8"/>
    <w:rsid w:val="005B6B6A"/>
    <w:rsid w:val="00637B24"/>
    <w:rsid w:val="006B199E"/>
    <w:rsid w:val="006B2B1C"/>
    <w:rsid w:val="00732AA3"/>
    <w:rsid w:val="00747F59"/>
    <w:rsid w:val="007512FC"/>
    <w:rsid w:val="00756AA1"/>
    <w:rsid w:val="007B08CF"/>
    <w:rsid w:val="007B6089"/>
    <w:rsid w:val="007C4F87"/>
    <w:rsid w:val="007D0A32"/>
    <w:rsid w:val="007E2552"/>
    <w:rsid w:val="007F1D4F"/>
    <w:rsid w:val="0082265B"/>
    <w:rsid w:val="00863B11"/>
    <w:rsid w:val="00865C1B"/>
    <w:rsid w:val="008744C6"/>
    <w:rsid w:val="00885084"/>
    <w:rsid w:val="008A0796"/>
    <w:rsid w:val="008B3EBC"/>
    <w:rsid w:val="00911DD5"/>
    <w:rsid w:val="009345A9"/>
    <w:rsid w:val="00936957"/>
    <w:rsid w:val="009419A5"/>
    <w:rsid w:val="00952C3A"/>
    <w:rsid w:val="009B1421"/>
    <w:rsid w:val="009D63F6"/>
    <w:rsid w:val="009E7DC2"/>
    <w:rsid w:val="00A16229"/>
    <w:rsid w:val="00A33D4D"/>
    <w:rsid w:val="00A3422F"/>
    <w:rsid w:val="00A46ED6"/>
    <w:rsid w:val="00A51D5F"/>
    <w:rsid w:val="00A63100"/>
    <w:rsid w:val="00A6410C"/>
    <w:rsid w:val="00A762EB"/>
    <w:rsid w:val="00AF7DB1"/>
    <w:rsid w:val="00B46638"/>
    <w:rsid w:val="00B46DDF"/>
    <w:rsid w:val="00B55FD6"/>
    <w:rsid w:val="00B72695"/>
    <w:rsid w:val="00B760E0"/>
    <w:rsid w:val="00B81F11"/>
    <w:rsid w:val="00B9632D"/>
    <w:rsid w:val="00BB1143"/>
    <w:rsid w:val="00BF7E95"/>
    <w:rsid w:val="00C335E7"/>
    <w:rsid w:val="00C65DCA"/>
    <w:rsid w:val="00C8009C"/>
    <w:rsid w:val="00CB7781"/>
    <w:rsid w:val="00CE4A28"/>
    <w:rsid w:val="00CE68A0"/>
    <w:rsid w:val="00D37CF6"/>
    <w:rsid w:val="00D5505B"/>
    <w:rsid w:val="00D70E6C"/>
    <w:rsid w:val="00DB3292"/>
    <w:rsid w:val="00DE2862"/>
    <w:rsid w:val="00DF3BC8"/>
    <w:rsid w:val="00E0144F"/>
    <w:rsid w:val="00EA6E95"/>
    <w:rsid w:val="00EE0EFA"/>
    <w:rsid w:val="00EE7F15"/>
    <w:rsid w:val="00EF2165"/>
    <w:rsid w:val="00F141BC"/>
    <w:rsid w:val="00F32948"/>
    <w:rsid w:val="00F376B4"/>
    <w:rsid w:val="00F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  <w:style w:type="table" w:styleId="TableGrid">
    <w:name w:val="Table Grid"/>
    <w:basedOn w:val="TableNormal"/>
    <w:uiPriority w:val="59"/>
    <w:rsid w:val="00CE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7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41</cp:revision>
  <cp:lastPrinted>2015-02-14T12:07:00Z</cp:lastPrinted>
  <dcterms:created xsi:type="dcterms:W3CDTF">2015-02-10T17:23:00Z</dcterms:created>
  <dcterms:modified xsi:type="dcterms:W3CDTF">2022-12-19T15:26:00Z</dcterms:modified>
</cp:coreProperties>
</file>