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09CEB" w14:textId="54C90EE9" w:rsidR="00A3422F" w:rsidRDefault="009345A9" w:rsidP="00CF5804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Pharmacy Practice: Lecture </w:t>
      </w:r>
      <w:r w:rsidR="00CF5804"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B72695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2C5DE9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A3422F">
        <w:rPr>
          <w:rFonts w:asciiTheme="majorBidi" w:hAnsiTheme="majorBidi" w:cstheme="majorBidi"/>
          <w:b/>
          <w:bCs/>
          <w:sz w:val="28"/>
          <w:szCs w:val="28"/>
        </w:rPr>
        <w:t xml:space="preserve">. Haider </w:t>
      </w:r>
      <w:r w:rsidR="00865C1B">
        <w:rPr>
          <w:rFonts w:asciiTheme="majorBidi" w:hAnsiTheme="majorBidi" w:cstheme="majorBidi"/>
          <w:b/>
          <w:bCs/>
          <w:sz w:val="28"/>
          <w:szCs w:val="28"/>
        </w:rPr>
        <w:t>Raheem</w:t>
      </w:r>
    </w:p>
    <w:p w14:paraId="497F3077" w14:textId="77777777" w:rsidR="00B72695" w:rsidRPr="00A3422F" w:rsidRDefault="00B72695" w:rsidP="00B7269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40F0AF80" w14:textId="094CA4D9" w:rsidR="009419A5" w:rsidRPr="00374603" w:rsidRDefault="00BB12DE" w:rsidP="000245C1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</w:rPr>
      </w:pPr>
      <w:r w:rsidRPr="00BB12DE">
        <w:rPr>
          <w:rFonts w:asciiTheme="majorBidi" w:hAnsiTheme="majorBidi" w:cstheme="majorBidi"/>
          <w:b/>
          <w:bCs/>
          <w:color w:val="0070C0"/>
          <w:sz w:val="36"/>
          <w:szCs w:val="36"/>
        </w:rPr>
        <w:t>P</w:t>
      </w:r>
      <w:r w:rsidR="000245C1">
        <w:rPr>
          <w:rFonts w:asciiTheme="majorBidi" w:hAnsiTheme="majorBidi" w:cstheme="majorBidi"/>
          <w:b/>
          <w:bCs/>
          <w:color w:val="0070C0"/>
          <w:sz w:val="36"/>
          <w:szCs w:val="36"/>
        </w:rPr>
        <w:t>ediatric Fluid and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</w:rPr>
        <w:t xml:space="preserve"> Electrolytes</w:t>
      </w:r>
    </w:p>
    <w:p w14:paraId="737E4847" w14:textId="77777777" w:rsidR="009419A5" w:rsidRDefault="009419A5" w:rsidP="009419A5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38ED0D47" w14:textId="3019136B" w:rsidR="00E274E1" w:rsidRDefault="00E274E1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B12DE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Fluid 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>Management</w:t>
      </w:r>
    </w:p>
    <w:p w14:paraId="0E3C7C6F" w14:textId="77777777" w:rsidR="00E274E1" w:rsidRDefault="00E274E1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274E1">
        <w:rPr>
          <w:rFonts w:asciiTheme="majorBidi" w:hAnsiTheme="majorBidi" w:cstheme="majorBidi"/>
          <w:sz w:val="28"/>
          <w:szCs w:val="28"/>
        </w:rPr>
        <w:t>A. Distribution of total body fluid (TBF)</w:t>
      </w:r>
    </w:p>
    <w:p w14:paraId="6869AA5B" w14:textId="1196E0E0" w:rsidR="00E274E1" w:rsidRDefault="00E274E1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  <w:r w:rsidRPr="00E274E1">
        <w:rPr>
          <w:b/>
          <w:bCs/>
          <w:noProof/>
          <w:sz w:val="20"/>
          <w:szCs w:val="20"/>
        </w:rPr>
        <w:drawing>
          <wp:inline distT="0" distB="0" distL="0" distR="0" wp14:anchorId="6F8C3BC4" wp14:editId="351F26FD">
            <wp:extent cx="5274310" cy="136161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6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71FFE" w14:textId="643DBCAD" w:rsidR="00E274E1" w:rsidRDefault="00E274E1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Figure 7-1:</w:t>
      </w:r>
      <w:r w:rsidRPr="00E274E1">
        <w:rPr>
          <w:rFonts w:asciiTheme="majorBidi" w:hAnsiTheme="majorBidi" w:cstheme="majorBidi"/>
          <w:b/>
          <w:bCs/>
          <w:sz w:val="28"/>
          <w:szCs w:val="28"/>
        </w:rPr>
        <w:t xml:space="preserve"> Distribution of total body fluid.</w:t>
      </w:r>
    </w:p>
    <w:p w14:paraId="2F7C27BE" w14:textId="490D7745" w:rsidR="00E274E1" w:rsidRDefault="00E274E1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0BF68483" w14:textId="34CE182D" w:rsidR="00E274E1" w:rsidRPr="00E274E1" w:rsidRDefault="00E274E1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sz w:val="20"/>
          <w:szCs w:val="20"/>
        </w:rPr>
      </w:pPr>
      <w:r w:rsidRPr="00E274E1">
        <w:rPr>
          <w:rFonts w:asciiTheme="majorBidi" w:hAnsiTheme="majorBidi" w:cstheme="majorBidi"/>
          <w:sz w:val="28"/>
          <w:szCs w:val="28"/>
        </w:rPr>
        <w:t>B. Distribution of intravenous fluid</w:t>
      </w:r>
      <w:r w:rsidRPr="00E274E1">
        <w:rPr>
          <w:sz w:val="20"/>
          <w:szCs w:val="20"/>
        </w:rPr>
        <w:t xml:space="preserve"> </w:t>
      </w:r>
    </w:p>
    <w:p w14:paraId="24A56457" w14:textId="1C6C95B0" w:rsidR="00E274E1" w:rsidRDefault="00500E68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Table 7-1:</w:t>
      </w:r>
      <w:r w:rsidR="00E274E1" w:rsidRPr="00E274E1">
        <w:rPr>
          <w:rFonts w:asciiTheme="majorBidi" w:hAnsiTheme="majorBidi" w:cstheme="majorBidi"/>
          <w:b/>
          <w:bCs/>
          <w:sz w:val="28"/>
          <w:szCs w:val="28"/>
        </w:rPr>
        <w:t xml:space="preserve"> Distribution of Intravenous Fluid</w:t>
      </w:r>
      <w:r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2513"/>
        <w:gridCol w:w="2841"/>
      </w:tblGrid>
      <w:tr w:rsidR="00E274E1" w14:paraId="6FA13290" w14:textId="77777777" w:rsidTr="00500E68">
        <w:tc>
          <w:tcPr>
            <w:tcW w:w="3168" w:type="dxa"/>
          </w:tcPr>
          <w:p w14:paraId="2046DC01" w14:textId="38140049" w:rsidR="00E274E1" w:rsidRPr="00E274E1" w:rsidRDefault="00E274E1" w:rsidP="00E274E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E1">
              <w:rPr>
                <w:rFonts w:ascii="Times New Roman" w:hAnsi="Times New Roman" w:cs="Times New Roman"/>
                <w:sz w:val="28"/>
                <w:szCs w:val="28"/>
              </w:rPr>
              <w:t xml:space="preserve">Intravenous Fluid </w:t>
            </w:r>
          </w:p>
        </w:tc>
        <w:tc>
          <w:tcPr>
            <w:tcW w:w="2513" w:type="dxa"/>
          </w:tcPr>
          <w:p w14:paraId="5972D86C" w14:textId="2BC5CD50" w:rsidR="00E274E1" w:rsidRPr="00E274E1" w:rsidRDefault="00E274E1" w:rsidP="00E274E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E1">
              <w:rPr>
                <w:rFonts w:ascii="Times New Roman" w:hAnsi="Times New Roman" w:cs="Times New Roman"/>
                <w:sz w:val="28"/>
                <w:szCs w:val="28"/>
              </w:rPr>
              <w:t xml:space="preserve">Infused Volume (mL) </w:t>
            </w:r>
          </w:p>
        </w:tc>
        <w:tc>
          <w:tcPr>
            <w:tcW w:w="2841" w:type="dxa"/>
          </w:tcPr>
          <w:p w14:paraId="25E57AB5" w14:textId="5336A741" w:rsidR="00E274E1" w:rsidRPr="00E274E1" w:rsidRDefault="00E274E1" w:rsidP="00E274E1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4E1">
              <w:rPr>
                <w:rFonts w:ascii="Times New Roman" w:hAnsi="Times New Roman" w:cs="Times New Roman"/>
                <w:sz w:val="28"/>
                <w:szCs w:val="28"/>
              </w:rPr>
              <w:t xml:space="preserve">Equivalent Intravascular Volume Expansion (mL) </w:t>
            </w:r>
          </w:p>
        </w:tc>
      </w:tr>
      <w:tr w:rsidR="00E274E1" w14:paraId="0194308D" w14:textId="77777777" w:rsidTr="00500E68">
        <w:tc>
          <w:tcPr>
            <w:tcW w:w="3168" w:type="dxa"/>
          </w:tcPr>
          <w:p w14:paraId="161DC317" w14:textId="332D943A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Normal saline</w:t>
            </w:r>
          </w:p>
        </w:tc>
        <w:tc>
          <w:tcPr>
            <w:tcW w:w="2513" w:type="dxa"/>
          </w:tcPr>
          <w:p w14:paraId="0ED1F7BD" w14:textId="5834CA81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1000</w:t>
            </w:r>
          </w:p>
        </w:tc>
        <w:tc>
          <w:tcPr>
            <w:tcW w:w="2841" w:type="dxa"/>
          </w:tcPr>
          <w:p w14:paraId="2819D1D9" w14:textId="37FDDEC3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250</w:t>
            </w:r>
          </w:p>
        </w:tc>
      </w:tr>
      <w:tr w:rsidR="00E274E1" w14:paraId="22A0FABB" w14:textId="77777777" w:rsidTr="00500E68">
        <w:tc>
          <w:tcPr>
            <w:tcW w:w="3168" w:type="dxa"/>
          </w:tcPr>
          <w:p w14:paraId="2D1745F9" w14:textId="26102530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Lactated Ringer solution</w:t>
            </w:r>
          </w:p>
        </w:tc>
        <w:tc>
          <w:tcPr>
            <w:tcW w:w="2513" w:type="dxa"/>
          </w:tcPr>
          <w:p w14:paraId="70E43680" w14:textId="19B46872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1000</w:t>
            </w:r>
          </w:p>
        </w:tc>
        <w:tc>
          <w:tcPr>
            <w:tcW w:w="2841" w:type="dxa"/>
          </w:tcPr>
          <w:p w14:paraId="7E0BB80E" w14:textId="6B3770E4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250</w:t>
            </w:r>
          </w:p>
        </w:tc>
      </w:tr>
      <w:tr w:rsidR="00E274E1" w14:paraId="2B8462CF" w14:textId="77777777" w:rsidTr="00500E68">
        <w:tc>
          <w:tcPr>
            <w:tcW w:w="3168" w:type="dxa"/>
          </w:tcPr>
          <w:p w14:paraId="14BFA556" w14:textId="4EB71586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Normosol-R and Plasma-Lyte</w:t>
            </w:r>
          </w:p>
        </w:tc>
        <w:tc>
          <w:tcPr>
            <w:tcW w:w="2513" w:type="dxa"/>
          </w:tcPr>
          <w:p w14:paraId="1736A013" w14:textId="43D0F425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1000</w:t>
            </w:r>
          </w:p>
        </w:tc>
        <w:tc>
          <w:tcPr>
            <w:tcW w:w="2841" w:type="dxa"/>
          </w:tcPr>
          <w:p w14:paraId="25A7A57D" w14:textId="0920FBE2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250</w:t>
            </w:r>
          </w:p>
        </w:tc>
      </w:tr>
      <w:tr w:rsidR="00E274E1" w14:paraId="225BBB6B" w14:textId="77777777" w:rsidTr="00500E68">
        <w:tc>
          <w:tcPr>
            <w:tcW w:w="3168" w:type="dxa"/>
          </w:tcPr>
          <w:p w14:paraId="10CF7419" w14:textId="0F43F99D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5% Dextrose</w:t>
            </w:r>
          </w:p>
        </w:tc>
        <w:tc>
          <w:tcPr>
            <w:tcW w:w="2513" w:type="dxa"/>
          </w:tcPr>
          <w:p w14:paraId="01A58ED8" w14:textId="244D6072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1000</w:t>
            </w:r>
          </w:p>
        </w:tc>
        <w:tc>
          <w:tcPr>
            <w:tcW w:w="2841" w:type="dxa"/>
          </w:tcPr>
          <w:p w14:paraId="4765AAF1" w14:textId="0E9335FB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</w:tr>
      <w:tr w:rsidR="00E274E1" w14:paraId="7EE08B52" w14:textId="77777777" w:rsidTr="00500E68">
        <w:tc>
          <w:tcPr>
            <w:tcW w:w="3168" w:type="dxa"/>
          </w:tcPr>
          <w:p w14:paraId="3431AAF9" w14:textId="46E3EA29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Albumin 5%</w:t>
            </w:r>
          </w:p>
        </w:tc>
        <w:tc>
          <w:tcPr>
            <w:tcW w:w="2513" w:type="dxa"/>
          </w:tcPr>
          <w:p w14:paraId="7078E7A6" w14:textId="68FCFF52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500</w:t>
            </w:r>
          </w:p>
        </w:tc>
        <w:tc>
          <w:tcPr>
            <w:tcW w:w="2841" w:type="dxa"/>
          </w:tcPr>
          <w:p w14:paraId="695BB94C" w14:textId="78FF170F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500</w:t>
            </w:r>
          </w:p>
        </w:tc>
      </w:tr>
      <w:tr w:rsidR="00E274E1" w14:paraId="48A225DF" w14:textId="77777777" w:rsidTr="00500E68">
        <w:tc>
          <w:tcPr>
            <w:tcW w:w="3168" w:type="dxa"/>
          </w:tcPr>
          <w:p w14:paraId="074DCC84" w14:textId="4ED2AE8D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Albumin 25%</w:t>
            </w:r>
          </w:p>
        </w:tc>
        <w:tc>
          <w:tcPr>
            <w:tcW w:w="2513" w:type="dxa"/>
          </w:tcPr>
          <w:p w14:paraId="4EABA404" w14:textId="490E4259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100</w:t>
            </w:r>
          </w:p>
        </w:tc>
        <w:tc>
          <w:tcPr>
            <w:tcW w:w="2841" w:type="dxa"/>
          </w:tcPr>
          <w:p w14:paraId="29C012E8" w14:textId="0D6976E9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500</w:t>
            </w:r>
          </w:p>
        </w:tc>
      </w:tr>
      <w:tr w:rsidR="00E274E1" w14:paraId="5F624BEF" w14:textId="77777777" w:rsidTr="00500E68">
        <w:tc>
          <w:tcPr>
            <w:tcW w:w="3168" w:type="dxa"/>
          </w:tcPr>
          <w:p w14:paraId="0F93C2D1" w14:textId="0981442A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Hydroxyethyl starch 6%</w:t>
            </w:r>
          </w:p>
        </w:tc>
        <w:tc>
          <w:tcPr>
            <w:tcW w:w="2513" w:type="dxa"/>
          </w:tcPr>
          <w:p w14:paraId="32A5877F" w14:textId="7B807CAF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500</w:t>
            </w:r>
          </w:p>
        </w:tc>
        <w:tc>
          <w:tcPr>
            <w:tcW w:w="2841" w:type="dxa"/>
          </w:tcPr>
          <w:p w14:paraId="134BD620" w14:textId="13CBE1D2" w:rsidR="00E274E1" w:rsidRP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500</w:t>
            </w:r>
          </w:p>
        </w:tc>
      </w:tr>
    </w:tbl>
    <w:p w14:paraId="5E3618F0" w14:textId="2EF3527E" w:rsidR="00E274E1" w:rsidRDefault="00E274E1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</w:p>
    <w:p w14:paraId="1AE200E4" w14:textId="2CD77F38" w:rsidR="00500E68" w:rsidRDefault="00500E68" w:rsidP="00500E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</w:t>
      </w:r>
      <w:r w:rsidRPr="00E274E1">
        <w:rPr>
          <w:rFonts w:asciiTheme="majorBidi" w:hAnsiTheme="majorBidi" w:cstheme="majorBidi"/>
          <w:sz w:val="28"/>
          <w:szCs w:val="28"/>
        </w:rPr>
        <w:t xml:space="preserve">. </w:t>
      </w:r>
      <w:r w:rsidRPr="00500E68">
        <w:rPr>
          <w:rFonts w:asciiTheme="majorBidi" w:hAnsiTheme="majorBidi" w:cstheme="majorBidi"/>
          <w:sz w:val="28"/>
          <w:szCs w:val="28"/>
        </w:rPr>
        <w:t>Content of Common Crystalloid Solutions</w:t>
      </w:r>
    </w:p>
    <w:p w14:paraId="62384D7A" w14:textId="02EC8242" w:rsidR="0036373D" w:rsidRPr="0036373D" w:rsidRDefault="0036373D" w:rsidP="003637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6373D">
        <w:rPr>
          <w:rFonts w:asciiTheme="majorBidi" w:hAnsiTheme="majorBidi" w:cstheme="majorBidi"/>
          <w:b/>
          <w:bCs/>
          <w:sz w:val="28"/>
          <w:szCs w:val="28"/>
        </w:rPr>
        <w:t>Table 7-2: Content of Common Crystalloid Solutions.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00E68" w14:paraId="4F0802C3" w14:textId="77777777" w:rsidTr="00500E68">
        <w:tc>
          <w:tcPr>
            <w:tcW w:w="2840" w:type="dxa"/>
          </w:tcPr>
          <w:p w14:paraId="6E3BC1F8" w14:textId="77777777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41" w:type="dxa"/>
          </w:tcPr>
          <w:p w14:paraId="058D35D7" w14:textId="36E91DF1" w:rsidR="00500E68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68">
              <w:rPr>
                <w:rFonts w:ascii="Times New Roman" w:hAnsi="Times New Roman" w:cs="Times New Roman"/>
                <w:sz w:val="28"/>
                <w:szCs w:val="28"/>
              </w:rPr>
              <w:t xml:space="preserve">Contents (mEq/L) </w:t>
            </w:r>
          </w:p>
        </w:tc>
        <w:tc>
          <w:tcPr>
            <w:tcW w:w="2841" w:type="dxa"/>
          </w:tcPr>
          <w:p w14:paraId="15573E91" w14:textId="282E7ED1" w:rsidR="00500E68" w:rsidRP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E68">
              <w:rPr>
                <w:rFonts w:ascii="Times New Roman" w:hAnsi="Times New Roman" w:cs="Times New Roman"/>
                <w:sz w:val="28"/>
                <w:szCs w:val="28"/>
              </w:rPr>
              <w:t xml:space="preserve">Osmolarity (mOsmol/L) </w:t>
            </w:r>
          </w:p>
        </w:tc>
      </w:tr>
      <w:tr w:rsidR="00500E68" w14:paraId="25F26BFF" w14:textId="77777777" w:rsidTr="00500E68">
        <w:tc>
          <w:tcPr>
            <w:tcW w:w="2840" w:type="dxa"/>
          </w:tcPr>
          <w:p w14:paraId="015ED4A0" w14:textId="2BEF0EC5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Sodium chloride 0.9% (NS)</w:t>
            </w:r>
          </w:p>
        </w:tc>
        <w:tc>
          <w:tcPr>
            <w:tcW w:w="2841" w:type="dxa"/>
          </w:tcPr>
          <w:p w14:paraId="003205C1" w14:textId="77777777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 xml:space="preserve">Na 154 </w:t>
            </w:r>
          </w:p>
          <w:p w14:paraId="2E0FB32D" w14:textId="299CD206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Cl 154</w:t>
            </w:r>
          </w:p>
        </w:tc>
        <w:tc>
          <w:tcPr>
            <w:tcW w:w="2841" w:type="dxa"/>
          </w:tcPr>
          <w:p w14:paraId="2B598FE7" w14:textId="11D149CF" w:rsid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308</w:t>
            </w:r>
          </w:p>
        </w:tc>
      </w:tr>
      <w:tr w:rsidR="00500E68" w14:paraId="7ACDF6BB" w14:textId="77777777" w:rsidTr="00500E68">
        <w:tc>
          <w:tcPr>
            <w:tcW w:w="2840" w:type="dxa"/>
          </w:tcPr>
          <w:p w14:paraId="6025D403" w14:textId="2BC8DEDE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Lactated Ringer (LR)</w:t>
            </w:r>
          </w:p>
        </w:tc>
        <w:tc>
          <w:tcPr>
            <w:tcW w:w="2841" w:type="dxa"/>
          </w:tcPr>
          <w:p w14:paraId="575204F4" w14:textId="77777777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 xml:space="preserve">Na 130 </w:t>
            </w:r>
          </w:p>
          <w:p w14:paraId="6AA660AA" w14:textId="77777777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 xml:space="preserve">Cl 109 </w:t>
            </w:r>
          </w:p>
          <w:p w14:paraId="5B648063" w14:textId="77777777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 xml:space="preserve">K 4 </w:t>
            </w:r>
          </w:p>
          <w:p w14:paraId="06D30A09" w14:textId="77777777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 xml:space="preserve">Ca 3 </w:t>
            </w:r>
          </w:p>
          <w:p w14:paraId="26436C64" w14:textId="399E3E91" w:rsidR="00500E68" w:rsidRDefault="00500E68" w:rsidP="00500E6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00E68">
              <w:rPr>
                <w:rFonts w:asciiTheme="majorBidi" w:hAnsiTheme="majorBidi" w:cstheme="majorBidi"/>
                <w:sz w:val="28"/>
                <w:szCs w:val="28"/>
              </w:rPr>
              <w:t>Lactate 28</w:t>
            </w:r>
          </w:p>
        </w:tc>
        <w:tc>
          <w:tcPr>
            <w:tcW w:w="2841" w:type="dxa"/>
          </w:tcPr>
          <w:p w14:paraId="03A20CB4" w14:textId="1F6D7753" w:rsidR="00500E68" w:rsidRDefault="00500E68" w:rsidP="00500E68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273</w:t>
            </w:r>
          </w:p>
        </w:tc>
      </w:tr>
    </w:tbl>
    <w:p w14:paraId="47B06CD0" w14:textId="77777777" w:rsidR="00500E68" w:rsidRPr="00E274E1" w:rsidRDefault="00500E68" w:rsidP="00500E6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70C0"/>
          <w:sz w:val="28"/>
          <w:szCs w:val="28"/>
        </w:rPr>
      </w:pPr>
    </w:p>
    <w:p w14:paraId="646F3E9C" w14:textId="0D18BC60" w:rsidR="00BB12DE" w:rsidRDefault="00BB12DE" w:rsidP="00E274E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BB12DE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Calculation of Maintenance Fluid and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 </w:t>
      </w:r>
      <w:r w:rsidRPr="00BB12DE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Electrolyte Requirements </w:t>
      </w:r>
    </w:p>
    <w:p w14:paraId="34FF0D33" w14:textId="77777777" w:rsidR="00BB12DE" w:rsidRDefault="00BB12DE" w:rsidP="00BB12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Avenir-Heavy" w:hAnsi="Avenir-Heavy" w:cs="Avenir-Heavy"/>
          <w:sz w:val="17"/>
          <w:szCs w:val="17"/>
        </w:rPr>
      </w:pPr>
      <w:r w:rsidRPr="00BB12DE">
        <w:rPr>
          <w:rFonts w:asciiTheme="majorBidi" w:hAnsiTheme="majorBidi" w:cstheme="majorBidi"/>
          <w:sz w:val="28"/>
          <w:szCs w:val="28"/>
        </w:rPr>
        <w:t>P.J., a 2-day-old, 3.5-kg term female infant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2DE">
        <w:rPr>
          <w:rFonts w:asciiTheme="majorBidi" w:hAnsiTheme="majorBidi" w:cstheme="majorBidi"/>
          <w:sz w:val="28"/>
          <w:szCs w:val="28"/>
        </w:rPr>
        <w:t>has developed abdominal distension, and her oral feedings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2DE">
        <w:rPr>
          <w:rFonts w:asciiTheme="majorBidi" w:hAnsiTheme="majorBidi" w:cstheme="majorBidi"/>
          <w:sz w:val="28"/>
          <w:szCs w:val="28"/>
        </w:rPr>
        <w:t>have been stopped. Calculate a maintenance fluid and electrolyte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2DE">
        <w:rPr>
          <w:rFonts w:asciiTheme="majorBidi" w:hAnsiTheme="majorBidi" w:cstheme="majorBidi"/>
          <w:sz w:val="28"/>
          <w:szCs w:val="28"/>
        </w:rPr>
        <w:t>prescription for her. Her serum electrolytes include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2DE">
        <w:rPr>
          <w:rFonts w:asciiTheme="majorBidi" w:hAnsiTheme="majorBidi" w:cstheme="majorBidi"/>
          <w:sz w:val="28"/>
          <w:szCs w:val="28"/>
        </w:rPr>
        <w:t>the following:</w:t>
      </w:r>
      <w:r w:rsidRPr="00BB12DE">
        <w:rPr>
          <w:rFonts w:ascii="Avenir-Heavy" w:hAnsi="Avenir-Heavy" w:cs="Avenir-Heavy"/>
          <w:sz w:val="17"/>
          <w:szCs w:val="17"/>
        </w:rPr>
        <w:t xml:space="preserve"> </w:t>
      </w:r>
    </w:p>
    <w:p w14:paraId="06581981" w14:textId="12B7ECAB" w:rsidR="00BB12DE" w:rsidRPr="00BB12DE" w:rsidRDefault="00BB12DE" w:rsidP="00BB12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2DE">
        <w:rPr>
          <w:rFonts w:asciiTheme="majorBidi" w:hAnsiTheme="majorBidi" w:cstheme="majorBidi"/>
          <w:sz w:val="28"/>
          <w:szCs w:val="28"/>
        </w:rPr>
        <w:t>Sodium, 137 mEq/L</w:t>
      </w:r>
    </w:p>
    <w:p w14:paraId="7CD71CE3" w14:textId="77777777" w:rsidR="00BB12DE" w:rsidRPr="00BB12DE" w:rsidRDefault="00BB12DE" w:rsidP="00BB12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2DE">
        <w:rPr>
          <w:rFonts w:asciiTheme="majorBidi" w:hAnsiTheme="majorBidi" w:cstheme="majorBidi"/>
          <w:sz w:val="28"/>
          <w:szCs w:val="28"/>
        </w:rPr>
        <w:t>Potassium, 4.2 mEq/L</w:t>
      </w:r>
    </w:p>
    <w:p w14:paraId="637C250D" w14:textId="77777777" w:rsidR="00BB12DE" w:rsidRPr="00BB12DE" w:rsidRDefault="00BB12DE" w:rsidP="00BB12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2DE">
        <w:rPr>
          <w:rFonts w:asciiTheme="majorBidi" w:hAnsiTheme="majorBidi" w:cstheme="majorBidi"/>
          <w:sz w:val="28"/>
          <w:szCs w:val="28"/>
        </w:rPr>
        <w:t>Chloride, 105 mEq/L</w:t>
      </w:r>
    </w:p>
    <w:p w14:paraId="2CA655D7" w14:textId="5C15D632" w:rsidR="00BB12DE" w:rsidRPr="00BB12DE" w:rsidRDefault="00804D3C" w:rsidP="00804D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04D3C">
        <w:rPr>
          <w:rFonts w:asciiTheme="majorBidi" w:hAnsiTheme="majorBidi" w:cstheme="majorBidi"/>
          <w:sz w:val="28"/>
          <w:szCs w:val="28"/>
        </w:rPr>
        <w:t>HCO</w:t>
      </w:r>
      <w:r w:rsidRPr="00804D3C">
        <w:rPr>
          <w:rFonts w:asciiTheme="majorBidi" w:hAnsiTheme="majorBidi" w:cstheme="majorBidi"/>
          <w:b/>
          <w:bCs/>
          <w:i/>
          <w:iCs/>
          <w:sz w:val="28"/>
          <w:szCs w:val="28"/>
          <w:vertAlign w:val="superscript"/>
        </w:rPr>
        <w:t>−</w:t>
      </w:r>
      <w:r w:rsidRPr="00804D3C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="00BB12DE" w:rsidRPr="00BB12DE">
        <w:rPr>
          <w:rFonts w:asciiTheme="majorBidi" w:hAnsiTheme="majorBidi" w:cstheme="majorBidi"/>
          <w:sz w:val="28"/>
          <w:szCs w:val="28"/>
        </w:rPr>
        <w:t>, 23 mEq/L</w:t>
      </w:r>
    </w:p>
    <w:p w14:paraId="169161EC" w14:textId="5F30F21D" w:rsidR="00B72695" w:rsidRDefault="00BB12DE" w:rsidP="00BB12D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B12DE">
        <w:rPr>
          <w:rFonts w:asciiTheme="majorBidi" w:hAnsiTheme="majorBidi" w:cstheme="majorBidi"/>
          <w:sz w:val="28"/>
          <w:szCs w:val="28"/>
        </w:rPr>
        <w:t>While P.J. receives nothing by mouth (NPO), her fluid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2DE">
        <w:rPr>
          <w:rFonts w:asciiTheme="majorBidi" w:hAnsiTheme="majorBidi" w:cstheme="majorBidi"/>
          <w:sz w:val="28"/>
          <w:szCs w:val="28"/>
        </w:rPr>
        <w:t>electrolyte needs must be met intravenously. Estimate 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B12DE">
        <w:rPr>
          <w:rFonts w:asciiTheme="majorBidi" w:hAnsiTheme="majorBidi" w:cstheme="majorBidi"/>
          <w:sz w:val="28"/>
          <w:szCs w:val="28"/>
        </w:rPr>
        <w:t>requirements.</w:t>
      </w:r>
    </w:p>
    <w:p w14:paraId="79AB96A7" w14:textId="77777777" w:rsidR="00885084" w:rsidRDefault="00885084" w:rsidP="008850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592A538" w14:textId="6D21B6AC" w:rsidR="002B5772" w:rsidRDefault="00CF5804" w:rsidP="00CF58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5804">
        <w:rPr>
          <w:rFonts w:asciiTheme="majorBidi" w:hAnsiTheme="majorBidi" w:cstheme="majorBidi"/>
          <w:sz w:val="28"/>
          <w:szCs w:val="28"/>
        </w:rPr>
        <w:t>Fluid, electrolyte, and nutrient requirements on the basis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weight are provided in</w:t>
      </w:r>
      <w:r>
        <w:rPr>
          <w:rFonts w:asciiTheme="majorBidi" w:hAnsiTheme="majorBidi" w:cstheme="majorBidi"/>
          <w:sz w:val="28"/>
          <w:szCs w:val="28"/>
        </w:rPr>
        <w:t xml:space="preserve"> Table 7</w:t>
      </w:r>
      <w:r w:rsidRPr="00CF5804">
        <w:rPr>
          <w:rFonts w:asciiTheme="majorBidi" w:hAnsiTheme="majorBidi" w:cstheme="majorBidi"/>
          <w:sz w:val="28"/>
          <w:szCs w:val="28"/>
        </w:rPr>
        <w:t>-1. Although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commercially available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intravenous solution will be used, each component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the solution can be calculated separately. Using the guidelines in</w:t>
      </w:r>
      <w:r>
        <w:rPr>
          <w:rFonts w:asciiTheme="majorBidi" w:hAnsiTheme="majorBidi" w:cstheme="majorBidi"/>
          <w:sz w:val="28"/>
          <w:szCs w:val="28"/>
        </w:rPr>
        <w:t xml:space="preserve"> Table 7</w:t>
      </w:r>
      <w:r w:rsidR="00574EA2">
        <w:rPr>
          <w:rFonts w:asciiTheme="majorBidi" w:hAnsiTheme="majorBidi" w:cstheme="majorBidi"/>
          <w:sz w:val="28"/>
          <w:szCs w:val="28"/>
        </w:rPr>
        <w:t>-3</w:t>
      </w:r>
      <w:r w:rsidRPr="00CF5804">
        <w:rPr>
          <w:rFonts w:asciiTheme="majorBidi" w:hAnsiTheme="majorBidi" w:cstheme="majorBidi"/>
          <w:sz w:val="28"/>
          <w:szCs w:val="28"/>
        </w:rPr>
        <w:t>, P.J.’s maintenance requirements can be estimated as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follows:</w:t>
      </w:r>
    </w:p>
    <w:p w14:paraId="532280B3" w14:textId="34B5360C" w:rsidR="00CF5804" w:rsidRPr="00CF5804" w:rsidRDefault="00CF5804" w:rsidP="00CF58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5804">
        <w:rPr>
          <w:rFonts w:asciiTheme="majorBidi" w:hAnsiTheme="majorBidi" w:cstheme="majorBidi"/>
          <w:sz w:val="28"/>
          <w:szCs w:val="28"/>
        </w:rPr>
        <w:t xml:space="preserve">Fluid 100 mL/kg/day </w:t>
      </w:r>
      <w:r w:rsidRPr="00CF5804">
        <w:rPr>
          <w:rFonts w:asciiTheme="majorBidi" w:hAnsiTheme="majorBidi" w:cstheme="majorBidi" w:hint="eastAsia"/>
          <w:sz w:val="28"/>
          <w:szCs w:val="28"/>
        </w:rPr>
        <w:t>×</w:t>
      </w:r>
      <w:r w:rsidRPr="00CF5804">
        <w:rPr>
          <w:rFonts w:asciiTheme="majorBidi" w:hAnsiTheme="majorBidi" w:cstheme="majorBidi"/>
          <w:sz w:val="28"/>
          <w:szCs w:val="28"/>
        </w:rPr>
        <w:t xml:space="preserve"> 3.5 kg = 350 mL/day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 xml:space="preserve">or 15 mL/hour </w:t>
      </w:r>
    </w:p>
    <w:p w14:paraId="1D0637AE" w14:textId="5C15E07C" w:rsidR="00CF5804" w:rsidRPr="00CF5804" w:rsidRDefault="00CF5804" w:rsidP="00CF58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5804">
        <w:rPr>
          <w:rFonts w:asciiTheme="majorBidi" w:hAnsiTheme="majorBidi" w:cstheme="majorBidi"/>
          <w:sz w:val="28"/>
          <w:szCs w:val="28"/>
        </w:rPr>
        <w:t xml:space="preserve">Sodium 2–4 mEq/kg/day </w:t>
      </w:r>
      <w:r w:rsidRPr="00CF5804">
        <w:rPr>
          <w:rFonts w:asciiTheme="majorBidi" w:hAnsiTheme="majorBidi" w:cstheme="majorBidi" w:hint="eastAsia"/>
          <w:sz w:val="28"/>
          <w:szCs w:val="28"/>
        </w:rPr>
        <w:t>×</w:t>
      </w:r>
      <w:r w:rsidRPr="00CF5804">
        <w:rPr>
          <w:rFonts w:asciiTheme="majorBidi" w:hAnsiTheme="majorBidi" w:cstheme="majorBidi"/>
          <w:sz w:val="28"/>
          <w:szCs w:val="28"/>
        </w:rPr>
        <w:t xml:space="preserve"> 3.5 kg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 xml:space="preserve">= 7–14 mEq/day </w:t>
      </w:r>
    </w:p>
    <w:p w14:paraId="280E15B5" w14:textId="73017DAA" w:rsidR="00CF5804" w:rsidRPr="00CF5804" w:rsidRDefault="00CF5804" w:rsidP="00CF58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5804">
        <w:rPr>
          <w:rFonts w:asciiTheme="majorBidi" w:hAnsiTheme="majorBidi" w:cstheme="majorBidi"/>
          <w:sz w:val="28"/>
          <w:szCs w:val="28"/>
        </w:rPr>
        <w:t xml:space="preserve">Potassium 2–3 mEq/kg/day </w:t>
      </w:r>
      <w:r w:rsidRPr="00CF5804">
        <w:rPr>
          <w:rFonts w:asciiTheme="majorBidi" w:hAnsiTheme="majorBidi" w:cstheme="majorBidi" w:hint="eastAsia"/>
          <w:sz w:val="28"/>
          <w:szCs w:val="28"/>
        </w:rPr>
        <w:t>×</w:t>
      </w:r>
      <w:r w:rsidRPr="00CF5804">
        <w:rPr>
          <w:rFonts w:asciiTheme="majorBidi" w:hAnsiTheme="majorBidi" w:cstheme="majorBidi"/>
          <w:sz w:val="28"/>
          <w:szCs w:val="28"/>
        </w:rPr>
        <w:t xml:space="preserve"> 3.5 kg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 xml:space="preserve">= 7–10.5 mEq/day </w:t>
      </w:r>
    </w:p>
    <w:p w14:paraId="12E9EF77" w14:textId="46D8217F" w:rsidR="00637B24" w:rsidRDefault="00CF5804" w:rsidP="00CF58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5804">
        <w:rPr>
          <w:rFonts w:asciiTheme="majorBidi" w:hAnsiTheme="majorBidi" w:cstheme="majorBidi"/>
          <w:sz w:val="28"/>
          <w:szCs w:val="28"/>
        </w:rPr>
        <w:t>Fluid and electrolyte requirements can be met by infusing 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solution of 5% dextrose with one-quarter NS (38 mEq/L)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20 mEq/L of KCl at 15 mL/hour. This provides 12 mEq (3.4 mEq/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kg/day) of NaCl and 7 mEq (2 mEq/kg/day) of KCl in 360 mL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5804">
        <w:rPr>
          <w:rFonts w:asciiTheme="majorBidi" w:hAnsiTheme="majorBidi" w:cstheme="majorBidi"/>
          <w:sz w:val="28"/>
          <w:szCs w:val="28"/>
        </w:rPr>
        <w:t>(103 mL/kg/day) of fluid per day.</w:t>
      </w:r>
    </w:p>
    <w:p w14:paraId="6C89DD7A" w14:textId="77777777" w:rsidR="00CF5804" w:rsidRDefault="00CF5804" w:rsidP="00CF58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A26DDEF" w14:textId="51C3A218" w:rsidR="00CE4A28" w:rsidRDefault="00CF5804" w:rsidP="00CF580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Table 7</w:t>
      </w:r>
      <w:r w:rsidR="00574EA2">
        <w:rPr>
          <w:rFonts w:asciiTheme="majorBidi" w:hAnsiTheme="majorBidi" w:cstheme="majorBidi"/>
          <w:b/>
          <w:bCs/>
          <w:sz w:val="28"/>
          <w:szCs w:val="28"/>
        </w:rPr>
        <w:t>-3</w:t>
      </w:r>
      <w:r w:rsidR="00CE4A28" w:rsidRPr="00CE4A2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CF5804">
        <w:rPr>
          <w:rFonts w:asciiTheme="majorBidi" w:hAnsiTheme="majorBidi" w:cstheme="majorBidi"/>
          <w:b/>
          <w:bCs/>
          <w:sz w:val="28"/>
          <w:szCs w:val="28"/>
        </w:rPr>
        <w:t>Daily Parenteral Nutrient Requirements in Children</w:t>
      </w:r>
      <w:r w:rsidR="00CE4A28" w:rsidRPr="00CE4A28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3609"/>
        <w:gridCol w:w="3374"/>
      </w:tblGrid>
      <w:tr w:rsidR="00CF5804" w14:paraId="1AB69DB0" w14:textId="77777777" w:rsidTr="002B7948">
        <w:trPr>
          <w:trHeight w:val="413"/>
          <w:jc w:val="center"/>
        </w:trPr>
        <w:tc>
          <w:tcPr>
            <w:tcW w:w="1539" w:type="dxa"/>
          </w:tcPr>
          <w:p w14:paraId="39907295" w14:textId="622E34E9" w:rsidR="00CF5804" w:rsidRPr="00CF5804" w:rsidRDefault="00CF5804" w:rsidP="00CF580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5804">
              <w:rPr>
                <w:rFonts w:ascii="Times New Roman" w:hAnsi="Times New Roman" w:cs="Times New Roman"/>
                <w:sz w:val="28"/>
                <w:szCs w:val="28"/>
              </w:rPr>
              <w:t xml:space="preserve">Nutrient </w:t>
            </w:r>
          </w:p>
        </w:tc>
        <w:tc>
          <w:tcPr>
            <w:tcW w:w="3609" w:type="dxa"/>
          </w:tcPr>
          <w:p w14:paraId="7E0DD731" w14:textId="110E70CB" w:rsidR="00CF5804" w:rsidRPr="00CF5804" w:rsidRDefault="00CF5804" w:rsidP="00CF580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804">
              <w:rPr>
                <w:rFonts w:ascii="Times New Roman" w:hAnsi="Times New Roman" w:cs="Times New Roman"/>
                <w:sz w:val="28"/>
                <w:szCs w:val="28"/>
              </w:rPr>
              <w:t xml:space="preserve">Weight/Age </w:t>
            </w:r>
          </w:p>
        </w:tc>
        <w:tc>
          <w:tcPr>
            <w:tcW w:w="3374" w:type="dxa"/>
          </w:tcPr>
          <w:p w14:paraId="124C787A" w14:textId="7209C3FB" w:rsidR="00CF5804" w:rsidRPr="00CF5804" w:rsidRDefault="00CF5804" w:rsidP="00CF5804">
            <w:pPr>
              <w:autoSpaceDE w:val="0"/>
              <w:autoSpaceDN w:val="0"/>
              <w:bidi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804">
              <w:rPr>
                <w:rFonts w:ascii="Times New Roman" w:hAnsi="Times New Roman" w:cs="Times New Roman"/>
                <w:sz w:val="28"/>
                <w:szCs w:val="28"/>
              </w:rPr>
              <w:t>Requirement</w:t>
            </w:r>
          </w:p>
        </w:tc>
      </w:tr>
      <w:tr w:rsidR="00CE4A28" w14:paraId="35CA9804" w14:textId="77777777" w:rsidTr="002B7948">
        <w:trPr>
          <w:jc w:val="center"/>
        </w:trPr>
        <w:tc>
          <w:tcPr>
            <w:tcW w:w="1539" w:type="dxa"/>
          </w:tcPr>
          <w:p w14:paraId="30958268" w14:textId="06714496" w:rsidR="00CE4A28" w:rsidRDefault="00CF5804" w:rsidP="00CF580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F5804">
              <w:rPr>
                <w:rFonts w:asciiTheme="majorBidi" w:hAnsiTheme="majorBidi" w:cstheme="majorBidi"/>
                <w:sz w:val="28"/>
                <w:szCs w:val="28"/>
              </w:rPr>
              <w:t>Fluid</w:t>
            </w:r>
          </w:p>
        </w:tc>
        <w:tc>
          <w:tcPr>
            <w:tcW w:w="3609" w:type="dxa"/>
          </w:tcPr>
          <w:p w14:paraId="71BFA81C" w14:textId="6FB8137B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&lt;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>1.5 kg</w:t>
            </w:r>
          </w:p>
          <w:p w14:paraId="03D03CDD" w14:textId="25918712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1.5–2.5 kg</w:t>
            </w:r>
          </w:p>
          <w:p w14:paraId="5AF78518" w14:textId="6CF878CF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2.5–10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 kg</w:t>
            </w:r>
          </w:p>
          <w:p w14:paraId="6B3490A2" w14:textId="2B16F250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10–20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 kg</w:t>
            </w:r>
          </w:p>
          <w:p w14:paraId="12CE915D" w14:textId="77777777" w:rsidR="003D4498" w:rsidRDefault="003D449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72B89BC1" w14:textId="31CFFAA0" w:rsidR="002B7948" w:rsidRDefault="002B7948" w:rsidP="003D449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>20 kg</w:t>
            </w:r>
          </w:p>
        </w:tc>
        <w:tc>
          <w:tcPr>
            <w:tcW w:w="3374" w:type="dxa"/>
          </w:tcPr>
          <w:p w14:paraId="29F3AC54" w14:textId="77777777" w:rsidR="00CE4A28" w:rsidRDefault="003D4498" w:rsidP="003D449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D4498">
              <w:rPr>
                <w:rFonts w:asciiTheme="majorBidi" w:hAnsiTheme="majorBidi" w:cstheme="majorBidi"/>
                <w:sz w:val="28"/>
                <w:szCs w:val="28"/>
              </w:rPr>
              <w:t>150 mL/kg</w:t>
            </w:r>
          </w:p>
          <w:p w14:paraId="1D188CA1" w14:textId="05AB4C02" w:rsidR="003D4498" w:rsidRDefault="003D4498" w:rsidP="003D449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12</w:t>
            </w:r>
            <w:r w:rsidRPr="003D4498">
              <w:rPr>
                <w:rFonts w:asciiTheme="majorBidi" w:hAnsiTheme="majorBidi" w:cstheme="majorBidi"/>
                <w:sz w:val="28"/>
                <w:szCs w:val="28"/>
              </w:rPr>
              <w:t>0 mL/kg</w:t>
            </w:r>
          </w:p>
          <w:p w14:paraId="75C59D1A" w14:textId="2B2FC92A" w:rsidR="003D4498" w:rsidRDefault="003D4498" w:rsidP="003D449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10</w:t>
            </w:r>
            <w:r w:rsidRPr="003D4498">
              <w:rPr>
                <w:rFonts w:asciiTheme="majorBidi" w:hAnsiTheme="majorBidi" w:cstheme="majorBidi"/>
                <w:sz w:val="28"/>
                <w:szCs w:val="28"/>
              </w:rPr>
              <w:t>0 mL/kg</w:t>
            </w:r>
          </w:p>
          <w:p w14:paraId="45A5A929" w14:textId="77777777" w:rsidR="003D4498" w:rsidRDefault="003D4498" w:rsidP="003D449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D4498">
              <w:rPr>
                <w:rFonts w:asciiTheme="majorBidi" w:hAnsiTheme="majorBidi" w:cstheme="majorBidi"/>
                <w:sz w:val="28"/>
                <w:szCs w:val="28"/>
              </w:rPr>
              <w:t xml:space="preserve">1,000 mL + 50 mL/kg for each kg </w:t>
            </w:r>
            <w:r w:rsidRPr="003D449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3D4498">
              <w:rPr>
                <w:rFonts w:asciiTheme="majorBidi" w:hAnsiTheme="majorBidi" w:cstheme="majorBidi"/>
                <w:sz w:val="28"/>
                <w:szCs w:val="28"/>
              </w:rPr>
              <w:t>10 kg</w:t>
            </w:r>
          </w:p>
          <w:p w14:paraId="2F3C425C" w14:textId="582C62DD" w:rsidR="003D4498" w:rsidRDefault="003D4498" w:rsidP="003D449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D4498">
              <w:rPr>
                <w:rFonts w:asciiTheme="majorBidi" w:hAnsiTheme="majorBidi" w:cstheme="majorBidi"/>
                <w:sz w:val="28"/>
                <w:szCs w:val="28"/>
              </w:rPr>
              <w:t xml:space="preserve">1,500 mL + 20 mL/kg for each kg </w:t>
            </w:r>
            <w:r w:rsidRPr="003D449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3D4498">
              <w:rPr>
                <w:rFonts w:asciiTheme="majorBidi" w:hAnsiTheme="majorBidi" w:cstheme="majorBidi"/>
                <w:sz w:val="28"/>
                <w:szCs w:val="28"/>
              </w:rPr>
              <w:t>20 kg</w:t>
            </w:r>
          </w:p>
        </w:tc>
      </w:tr>
      <w:tr w:rsidR="00CE4A28" w14:paraId="51E9C391" w14:textId="77777777" w:rsidTr="002B7948">
        <w:trPr>
          <w:jc w:val="center"/>
        </w:trPr>
        <w:tc>
          <w:tcPr>
            <w:tcW w:w="1539" w:type="dxa"/>
          </w:tcPr>
          <w:p w14:paraId="3836AE11" w14:textId="6E8078C4" w:rsidR="00CE4A28" w:rsidRDefault="00CF5804" w:rsidP="00CF580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F5804">
              <w:rPr>
                <w:rFonts w:asciiTheme="majorBidi" w:hAnsiTheme="majorBidi" w:cstheme="majorBidi"/>
                <w:sz w:val="28"/>
                <w:szCs w:val="28"/>
              </w:rPr>
              <w:t>Calories</w:t>
            </w:r>
          </w:p>
        </w:tc>
        <w:tc>
          <w:tcPr>
            <w:tcW w:w="3609" w:type="dxa"/>
          </w:tcPr>
          <w:p w14:paraId="304D90BF" w14:textId="77777777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Up to 10 kg</w:t>
            </w:r>
          </w:p>
          <w:p w14:paraId="4C718BB2" w14:textId="77777777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 kg</w:t>
            </w:r>
          </w:p>
          <w:p w14:paraId="074E540D" w14:textId="77777777" w:rsidR="003D4498" w:rsidRDefault="003D449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24C08923" w14:textId="70F87932" w:rsidR="002B7948" w:rsidRDefault="002B7948" w:rsidP="003D449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>20 kg</w:t>
            </w:r>
          </w:p>
        </w:tc>
        <w:tc>
          <w:tcPr>
            <w:tcW w:w="3374" w:type="dxa"/>
          </w:tcPr>
          <w:p w14:paraId="1CDA46C5" w14:textId="77777777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100 kcal/kg</w:t>
            </w:r>
          </w:p>
          <w:p w14:paraId="77744173" w14:textId="77777777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1,000 kcal + 50 kcal/kg for each kg </w:t>
            </w: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>10 kg</w:t>
            </w:r>
          </w:p>
          <w:p w14:paraId="0959B7B8" w14:textId="32E81E65" w:rsidR="003D4498" w:rsidRDefault="003D4498" w:rsidP="003D449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D4498">
              <w:rPr>
                <w:rFonts w:asciiTheme="majorBidi" w:hAnsiTheme="majorBidi" w:cstheme="majorBidi"/>
                <w:sz w:val="28"/>
                <w:szCs w:val="28"/>
              </w:rPr>
              <w:t xml:space="preserve">1,500 kcal + 20 kcal/kg for each kg </w:t>
            </w:r>
            <w:r w:rsidRPr="003D449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3D4498">
              <w:rPr>
                <w:rFonts w:asciiTheme="majorBidi" w:hAnsiTheme="majorBidi" w:cstheme="majorBidi"/>
                <w:sz w:val="28"/>
                <w:szCs w:val="28"/>
              </w:rPr>
              <w:t>20 kg</w:t>
            </w:r>
          </w:p>
        </w:tc>
      </w:tr>
      <w:tr w:rsidR="00CE4A28" w14:paraId="570C5DDD" w14:textId="77777777" w:rsidTr="002B7948">
        <w:trPr>
          <w:jc w:val="center"/>
        </w:trPr>
        <w:tc>
          <w:tcPr>
            <w:tcW w:w="1539" w:type="dxa"/>
          </w:tcPr>
          <w:p w14:paraId="10007496" w14:textId="0B8E80FF" w:rsidR="00CE4A28" w:rsidRDefault="00CF5804" w:rsidP="00CF580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F5804">
              <w:rPr>
                <w:rFonts w:asciiTheme="majorBidi" w:hAnsiTheme="majorBidi" w:cstheme="majorBidi"/>
                <w:sz w:val="28"/>
                <w:szCs w:val="28"/>
              </w:rPr>
              <w:t>Protein</w:t>
            </w:r>
          </w:p>
        </w:tc>
        <w:tc>
          <w:tcPr>
            <w:tcW w:w="3609" w:type="dxa"/>
          </w:tcPr>
          <w:p w14:paraId="23F69B16" w14:textId="77777777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Infants</w:t>
            </w:r>
          </w:p>
          <w:p w14:paraId="445DE62B" w14:textId="77777777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Older children</w:t>
            </w:r>
          </w:p>
          <w:p w14:paraId="7C8548F9" w14:textId="02BCA0F4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Adolescents and older</w:t>
            </w:r>
          </w:p>
        </w:tc>
        <w:tc>
          <w:tcPr>
            <w:tcW w:w="3374" w:type="dxa"/>
          </w:tcPr>
          <w:p w14:paraId="619ABFFE" w14:textId="77777777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2–3 g/kg</w:t>
            </w:r>
          </w:p>
          <w:p w14:paraId="3E113BC4" w14:textId="77777777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1.5–2.0 g/kg</w:t>
            </w:r>
          </w:p>
          <w:p w14:paraId="204D7849" w14:textId="132BA442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1.0–1.5 g/kg</w:t>
            </w:r>
          </w:p>
        </w:tc>
      </w:tr>
      <w:tr w:rsidR="00CE4A28" w14:paraId="38D125AB" w14:textId="77777777" w:rsidTr="002B7948">
        <w:trPr>
          <w:jc w:val="center"/>
        </w:trPr>
        <w:tc>
          <w:tcPr>
            <w:tcW w:w="1539" w:type="dxa"/>
          </w:tcPr>
          <w:p w14:paraId="1079BCDB" w14:textId="7E9DAB4E" w:rsidR="00CE4A28" w:rsidRDefault="00CF5804" w:rsidP="00CF580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F5804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Fat</w:t>
            </w:r>
          </w:p>
        </w:tc>
        <w:tc>
          <w:tcPr>
            <w:tcW w:w="3609" w:type="dxa"/>
          </w:tcPr>
          <w:p w14:paraId="21CE6C3F" w14:textId="77777777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Infants and children</w:t>
            </w:r>
          </w:p>
          <w:p w14:paraId="0AF22453" w14:textId="44ACEB01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i/>
                <w:iCs/>
                <w:sz w:val="28"/>
                <w:szCs w:val="28"/>
              </w:rPr>
            </w:pPr>
          </w:p>
          <w:p w14:paraId="294EE1AC" w14:textId="6049D15F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>0 kg</w:t>
            </w:r>
          </w:p>
        </w:tc>
        <w:tc>
          <w:tcPr>
            <w:tcW w:w="3374" w:type="dxa"/>
          </w:tcPr>
          <w:p w14:paraId="3ABC6E24" w14:textId="77777777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Initially 0.5–1 g/kg then increase by 0.5–1 g/kg </w:t>
            </w:r>
          </w:p>
          <w:p w14:paraId="52343B3B" w14:textId="0616FB89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One 500-mL bottle (100 g fat)</w:t>
            </w:r>
          </w:p>
        </w:tc>
      </w:tr>
      <w:tr w:rsidR="00CE4A28" w14:paraId="4008646A" w14:textId="77777777" w:rsidTr="002B7948">
        <w:trPr>
          <w:trHeight w:val="377"/>
          <w:jc w:val="center"/>
        </w:trPr>
        <w:tc>
          <w:tcPr>
            <w:tcW w:w="1539" w:type="dxa"/>
            <w:vAlign w:val="center"/>
          </w:tcPr>
          <w:p w14:paraId="4A9EE5CA" w14:textId="3C9EDFF0" w:rsidR="00CE4A28" w:rsidRDefault="00CF5804" w:rsidP="00CF580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F5804">
              <w:rPr>
                <w:rFonts w:asciiTheme="majorBidi" w:hAnsiTheme="majorBidi" w:cstheme="majorBidi"/>
                <w:sz w:val="28"/>
                <w:szCs w:val="28"/>
              </w:rPr>
              <w:t>Sodium</w:t>
            </w:r>
          </w:p>
        </w:tc>
        <w:tc>
          <w:tcPr>
            <w:tcW w:w="3609" w:type="dxa"/>
          </w:tcPr>
          <w:p w14:paraId="4CE259F6" w14:textId="15C9F64D" w:rsidR="003E665B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Infants and children</w:t>
            </w:r>
          </w:p>
        </w:tc>
        <w:tc>
          <w:tcPr>
            <w:tcW w:w="3374" w:type="dxa"/>
          </w:tcPr>
          <w:p w14:paraId="22A21B92" w14:textId="6687CFB1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2–4 mEq/kg</w:t>
            </w:r>
          </w:p>
        </w:tc>
      </w:tr>
      <w:tr w:rsidR="00CE4A28" w14:paraId="2941C1E5" w14:textId="77777777" w:rsidTr="002B7948">
        <w:trPr>
          <w:jc w:val="center"/>
        </w:trPr>
        <w:tc>
          <w:tcPr>
            <w:tcW w:w="1539" w:type="dxa"/>
          </w:tcPr>
          <w:p w14:paraId="1D010F13" w14:textId="5F4A4EDC" w:rsidR="00CE4A28" w:rsidRDefault="00CF5804" w:rsidP="00CF580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F5804">
              <w:rPr>
                <w:rFonts w:asciiTheme="majorBidi" w:hAnsiTheme="majorBidi" w:cstheme="majorBidi"/>
                <w:sz w:val="28"/>
                <w:szCs w:val="28"/>
              </w:rPr>
              <w:t>Potassium</w:t>
            </w:r>
          </w:p>
        </w:tc>
        <w:tc>
          <w:tcPr>
            <w:tcW w:w="3609" w:type="dxa"/>
          </w:tcPr>
          <w:p w14:paraId="4CAC1A34" w14:textId="1C8A2E8A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Infants and children</w:t>
            </w:r>
          </w:p>
        </w:tc>
        <w:tc>
          <w:tcPr>
            <w:tcW w:w="3374" w:type="dxa"/>
          </w:tcPr>
          <w:p w14:paraId="01760F9E" w14:textId="6223B858" w:rsidR="00CE4A2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2–3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 mEq/kg</w:t>
            </w:r>
          </w:p>
        </w:tc>
      </w:tr>
      <w:tr w:rsidR="003E665B" w14:paraId="084BB2C7" w14:textId="77777777" w:rsidTr="002B7948">
        <w:trPr>
          <w:jc w:val="center"/>
        </w:trPr>
        <w:tc>
          <w:tcPr>
            <w:tcW w:w="1539" w:type="dxa"/>
          </w:tcPr>
          <w:p w14:paraId="4FEC961C" w14:textId="5D7EC6FD" w:rsidR="003E665B" w:rsidRPr="003E665B" w:rsidRDefault="00CF5804" w:rsidP="00CF580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CF5804">
              <w:rPr>
                <w:rFonts w:asciiTheme="majorBidi" w:hAnsiTheme="majorBidi" w:cstheme="majorBidi"/>
                <w:sz w:val="28"/>
                <w:szCs w:val="28"/>
              </w:rPr>
              <w:t>Chloride</w:t>
            </w:r>
          </w:p>
        </w:tc>
        <w:tc>
          <w:tcPr>
            <w:tcW w:w="3609" w:type="dxa"/>
          </w:tcPr>
          <w:p w14:paraId="4247A0F0" w14:textId="4348D03F" w:rsidR="003E665B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Infants and children</w:t>
            </w:r>
          </w:p>
        </w:tc>
        <w:tc>
          <w:tcPr>
            <w:tcW w:w="3374" w:type="dxa"/>
          </w:tcPr>
          <w:p w14:paraId="50F5FF30" w14:textId="653CEAEB" w:rsidR="003E665B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2–4 mEq/kg</w:t>
            </w:r>
          </w:p>
        </w:tc>
      </w:tr>
      <w:tr w:rsidR="00CF5804" w14:paraId="77AB4228" w14:textId="77777777" w:rsidTr="002B7948">
        <w:trPr>
          <w:jc w:val="center"/>
        </w:trPr>
        <w:tc>
          <w:tcPr>
            <w:tcW w:w="1539" w:type="dxa"/>
          </w:tcPr>
          <w:p w14:paraId="06A52AD4" w14:textId="0FA08677" w:rsidR="00CF5804" w:rsidRP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Magnesium</w:t>
            </w:r>
          </w:p>
        </w:tc>
        <w:tc>
          <w:tcPr>
            <w:tcW w:w="3609" w:type="dxa"/>
          </w:tcPr>
          <w:p w14:paraId="20D58FF3" w14:textId="77777777" w:rsid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Preterm and term infants</w:t>
            </w:r>
          </w:p>
          <w:p w14:paraId="0968B207" w14:textId="6008CCDB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Children </w:t>
            </w: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1 year (or </w:t>
            </w: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>12 kg)</w:t>
            </w:r>
          </w:p>
        </w:tc>
        <w:tc>
          <w:tcPr>
            <w:tcW w:w="3374" w:type="dxa"/>
          </w:tcPr>
          <w:p w14:paraId="0858BFCF" w14:textId="77777777" w:rsid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0.25–0.5 mEq/kg</w:t>
            </w:r>
          </w:p>
          <w:p w14:paraId="10827410" w14:textId="6AA5D2A0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4–12 mEq</w:t>
            </w:r>
          </w:p>
        </w:tc>
      </w:tr>
      <w:tr w:rsidR="00CF5804" w14:paraId="31883A4A" w14:textId="77777777" w:rsidTr="002B7948">
        <w:trPr>
          <w:jc w:val="center"/>
        </w:trPr>
        <w:tc>
          <w:tcPr>
            <w:tcW w:w="1539" w:type="dxa"/>
          </w:tcPr>
          <w:p w14:paraId="142744A1" w14:textId="0B165B63" w:rsidR="00CF5804" w:rsidRP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Calcium</w:t>
            </w:r>
          </w:p>
        </w:tc>
        <w:tc>
          <w:tcPr>
            <w:tcW w:w="3609" w:type="dxa"/>
          </w:tcPr>
          <w:p w14:paraId="5224E19D" w14:textId="77777777" w:rsidR="002B7948" w:rsidRP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Preterm and term infants</w:t>
            </w:r>
          </w:p>
          <w:p w14:paraId="41808019" w14:textId="6BF01554" w:rsid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Children </w:t>
            </w: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1 year (or </w:t>
            </w: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>12 kg)</w:t>
            </w:r>
          </w:p>
        </w:tc>
        <w:tc>
          <w:tcPr>
            <w:tcW w:w="3374" w:type="dxa"/>
          </w:tcPr>
          <w:p w14:paraId="1BE81BD3" w14:textId="77777777" w:rsid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2–3 mEq/kg</w:t>
            </w:r>
          </w:p>
          <w:p w14:paraId="79BF0DFA" w14:textId="5EDF86CE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10–20 mEq</w:t>
            </w:r>
          </w:p>
        </w:tc>
      </w:tr>
      <w:tr w:rsidR="00CF5804" w14:paraId="1554623D" w14:textId="77777777" w:rsidTr="002B7948">
        <w:trPr>
          <w:jc w:val="center"/>
        </w:trPr>
        <w:tc>
          <w:tcPr>
            <w:tcW w:w="1539" w:type="dxa"/>
          </w:tcPr>
          <w:p w14:paraId="7BA92F25" w14:textId="303CA0ED" w:rsidR="00CF5804" w:rsidRP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Phosphorus</w:t>
            </w:r>
          </w:p>
        </w:tc>
        <w:tc>
          <w:tcPr>
            <w:tcW w:w="3609" w:type="dxa"/>
          </w:tcPr>
          <w:p w14:paraId="378096EB" w14:textId="77777777" w:rsidR="002B7948" w:rsidRP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Preterm and term infants</w:t>
            </w:r>
          </w:p>
          <w:p w14:paraId="2482A0BE" w14:textId="5B2A7C40" w:rsid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Children </w:t>
            </w: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 xml:space="preserve">1 year (or </w:t>
            </w:r>
            <w:r w:rsidRPr="002B7948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&gt;</w:t>
            </w:r>
            <w:r w:rsidRPr="002B7948">
              <w:rPr>
                <w:rFonts w:asciiTheme="majorBidi" w:hAnsiTheme="majorBidi" w:cstheme="majorBidi"/>
                <w:sz w:val="28"/>
                <w:szCs w:val="28"/>
              </w:rPr>
              <w:t>12 kg)</w:t>
            </w:r>
          </w:p>
        </w:tc>
        <w:tc>
          <w:tcPr>
            <w:tcW w:w="3374" w:type="dxa"/>
          </w:tcPr>
          <w:p w14:paraId="2180FE51" w14:textId="77777777" w:rsidR="00CF5804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1.0–1.5 mmol/kg</w:t>
            </w:r>
          </w:p>
          <w:p w14:paraId="425D6E11" w14:textId="3A36FCB9" w:rsidR="002B7948" w:rsidRDefault="002B7948" w:rsidP="002B7948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B7948">
              <w:rPr>
                <w:rFonts w:asciiTheme="majorBidi" w:hAnsiTheme="majorBidi" w:cstheme="majorBidi"/>
                <w:sz w:val="28"/>
                <w:szCs w:val="28"/>
              </w:rPr>
              <w:t>10–20 mmol</w:t>
            </w:r>
          </w:p>
        </w:tc>
      </w:tr>
    </w:tbl>
    <w:p w14:paraId="5E74F614" w14:textId="77777777" w:rsidR="00637B24" w:rsidRDefault="00637B24" w:rsidP="00A631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E3AFAF7" w14:textId="77777777" w:rsidR="000603D4" w:rsidRDefault="000603D4" w:rsidP="000603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603D4">
        <w:rPr>
          <w:rFonts w:asciiTheme="majorBidi" w:hAnsiTheme="majorBidi" w:cstheme="majorBidi"/>
          <w:b/>
          <w:bCs/>
          <w:color w:val="0070C0"/>
          <w:sz w:val="32"/>
          <w:szCs w:val="32"/>
        </w:rPr>
        <w:t xml:space="preserve">Dehydration </w:t>
      </w:r>
    </w:p>
    <w:p w14:paraId="2BEEAE39" w14:textId="37E3558B" w:rsidR="000603D4" w:rsidRPr="000603D4" w:rsidRDefault="000603D4" w:rsidP="000603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03D4">
        <w:rPr>
          <w:rFonts w:asciiTheme="majorBidi" w:hAnsiTheme="majorBidi" w:cstheme="majorBidi"/>
          <w:sz w:val="28"/>
          <w:szCs w:val="28"/>
        </w:rPr>
        <w:t>H.S. is a 2-year-old lethargic girl with a 2-day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history of vomiting and minimal oral intake. Yesterday, she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required only three diaper changes instead of her usual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eight and has needed only one change today. Her vital signs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are as follows:</w:t>
      </w:r>
    </w:p>
    <w:p w14:paraId="7E9E7C6C" w14:textId="154F4B9C" w:rsidR="000603D4" w:rsidRPr="000603D4" w:rsidRDefault="000603D4" w:rsidP="000603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03D4">
        <w:rPr>
          <w:rFonts w:asciiTheme="majorBidi" w:hAnsiTheme="majorBidi" w:cstheme="majorBidi"/>
          <w:sz w:val="28"/>
          <w:szCs w:val="28"/>
        </w:rPr>
        <w:t>Temperature, 39</w:t>
      </w:r>
      <w:r>
        <w:rPr>
          <w:rFonts w:asciiTheme="majorBidi" w:hAnsiTheme="majorBidi" w:cstheme="majorBidi"/>
          <w:sz w:val="28"/>
          <w:szCs w:val="28"/>
        </w:rPr>
        <w:t>°</w:t>
      </w:r>
      <w:r w:rsidRPr="000603D4">
        <w:rPr>
          <w:rFonts w:asciiTheme="majorBidi" w:hAnsiTheme="majorBidi" w:cstheme="majorBidi"/>
          <w:sz w:val="28"/>
          <w:szCs w:val="28"/>
        </w:rPr>
        <w:t>C</w:t>
      </w:r>
    </w:p>
    <w:p w14:paraId="21183286" w14:textId="77777777" w:rsidR="000603D4" w:rsidRPr="000603D4" w:rsidRDefault="000603D4" w:rsidP="000603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03D4">
        <w:rPr>
          <w:rFonts w:asciiTheme="majorBidi" w:hAnsiTheme="majorBidi" w:cstheme="majorBidi"/>
          <w:sz w:val="28"/>
          <w:szCs w:val="28"/>
        </w:rPr>
        <w:t>Pulse, 140 beats/minute (normal, 80–130 beats/minute)</w:t>
      </w:r>
    </w:p>
    <w:p w14:paraId="7B91AED2" w14:textId="2A31BC11" w:rsidR="000603D4" w:rsidRPr="000603D4" w:rsidRDefault="000603D4" w:rsidP="000603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03D4">
        <w:rPr>
          <w:rFonts w:asciiTheme="majorBidi" w:hAnsiTheme="majorBidi" w:cstheme="majorBidi"/>
          <w:sz w:val="28"/>
          <w:szCs w:val="28"/>
        </w:rPr>
        <w:t>Respiratory rate, 30 breaths/minute (normal, 30–35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breaths/minute)</w:t>
      </w:r>
    </w:p>
    <w:p w14:paraId="7642C84C" w14:textId="7F4A0AAE" w:rsidR="000603D4" w:rsidRPr="000603D4" w:rsidRDefault="000603D4" w:rsidP="000603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03D4">
        <w:rPr>
          <w:rFonts w:asciiTheme="majorBidi" w:hAnsiTheme="majorBidi" w:cstheme="majorBidi"/>
          <w:sz w:val="28"/>
          <w:szCs w:val="28"/>
        </w:rPr>
        <w:t>Blood pressure (BP), 80/45 mm Hg (normal, 80–115 mm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Hg systolic and 50–80 mm Hg diastolic)</w:t>
      </w:r>
    </w:p>
    <w:p w14:paraId="04D79F36" w14:textId="5A56EAEF" w:rsidR="000603D4" w:rsidRDefault="000603D4" w:rsidP="000603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603D4">
        <w:rPr>
          <w:rFonts w:asciiTheme="majorBidi" w:hAnsiTheme="majorBidi" w:cstheme="majorBidi"/>
          <w:sz w:val="28"/>
          <w:szCs w:val="28"/>
        </w:rPr>
        <w:t>On physical examination, her eyes appear sunken, 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mucous membranes are dry, and her skin is dry and cool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to touch. Although she is crying, there are no tears,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the skin over her sternum tents when pinched. Her weight</w:t>
      </w:r>
      <w:r w:rsidRPr="000603D4">
        <w:rPr>
          <w:rFonts w:ascii="Avenir-Heavy" w:hAnsi="Avenir-Heavy" w:cs="Avenir-Heavy"/>
          <w:sz w:val="17"/>
          <w:szCs w:val="17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today is 11.4 kg; 3 weeks ago, it was 12.9 kg. What do these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findings represent? What immediate treatment should be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603D4">
        <w:rPr>
          <w:rFonts w:asciiTheme="majorBidi" w:hAnsiTheme="majorBidi" w:cstheme="majorBidi"/>
          <w:sz w:val="28"/>
          <w:szCs w:val="28"/>
        </w:rPr>
        <w:t>provided?</w:t>
      </w:r>
    </w:p>
    <w:p w14:paraId="3CC4097A" w14:textId="77777777" w:rsidR="000603D4" w:rsidRDefault="000603D4" w:rsidP="000603D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620020F" w14:textId="5B26111D" w:rsidR="00637B24" w:rsidRDefault="0098396E" w:rsidP="009839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8396E">
        <w:rPr>
          <w:rFonts w:asciiTheme="majorBidi" w:hAnsiTheme="majorBidi" w:cstheme="majorBidi"/>
          <w:sz w:val="28"/>
          <w:szCs w:val="28"/>
        </w:rPr>
        <w:t>H.S.’s lethargy, decreased urine output, tearless crying, dry</w:t>
      </w:r>
      <w:r>
        <w:rPr>
          <w:rFonts w:asciiTheme="majorBidi" w:hAnsiTheme="majorBidi" w:cstheme="majorBidi"/>
          <w:sz w:val="28"/>
          <w:szCs w:val="28"/>
        </w:rPr>
        <w:t xml:space="preserve"> m</w:t>
      </w:r>
      <w:r w:rsidRPr="0098396E">
        <w:rPr>
          <w:rFonts w:asciiTheme="majorBidi" w:hAnsiTheme="majorBidi" w:cstheme="majorBidi"/>
          <w:sz w:val="28"/>
          <w:szCs w:val="28"/>
        </w:rPr>
        <w:t>ucous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membranes, dry skin with fever, sunken eyes, mild tachycardia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with low normal blood pressure, and poor skin turgor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all signs of dehydration. This is consistent with her 2-day history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of vomiting and poor intake. 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weight loss of 1.5 kg gives a further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clue to the extent of dehydration. Dehydration or fluid loss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determined most accurately by weight loss. Because 1 g of body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weight is approximately equal to 1 mL, her fluid deficit is estimated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to be 1,500 mL. The percentage dehydration is estimated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using the following formula:</w:t>
      </w:r>
    </w:p>
    <w:p w14:paraId="5E6B5BED" w14:textId="0DBB72FB" w:rsidR="0098396E" w:rsidRDefault="0098396E" w:rsidP="009839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 xml:space="preserve">% Dehydration = Normal body weight- </m:t>
          </m:r>
          <m:f>
            <m:fPr>
              <m:ctrlPr>
                <w:rPr>
                  <w:rFonts w:ascii="Cambria Math" w:hAnsi="Cambria Math" w:cstheme="majorBidi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Actual body weight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</w:rPr>
                <m:t>Normal body weight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 xml:space="preserve"> ×100</m:t>
          </m:r>
        </m:oMath>
      </m:oMathPara>
    </w:p>
    <w:p w14:paraId="2314837C" w14:textId="63852259" w:rsidR="0098396E" w:rsidRDefault="0098396E" w:rsidP="009839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8396E">
        <w:rPr>
          <w:rFonts w:asciiTheme="majorBidi" w:hAnsiTheme="majorBidi" w:cstheme="majorBidi"/>
          <w:sz w:val="28"/>
          <w:szCs w:val="28"/>
        </w:rPr>
        <w:t>Tachycardia and marginal blood pressure dictate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need for immediate IV rehydration. Normal serum sodium concentration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ranges from 135 to 145mEq/L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of sodium; thus, normal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saline approximates the sodium concentration of plasma and is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often used as a volume expander. In this patient, 10 to 20 mL/kg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 xml:space="preserve">of normal saline (12.9 kg </w:t>
      </w:r>
      <w:r w:rsidRPr="0098396E">
        <w:rPr>
          <w:rFonts w:asciiTheme="majorBidi" w:hAnsiTheme="majorBidi" w:cstheme="majorBidi" w:hint="eastAsia"/>
          <w:sz w:val="28"/>
          <w:szCs w:val="28"/>
        </w:rPr>
        <w:t>×</w:t>
      </w:r>
      <w:r w:rsidRPr="0098396E">
        <w:rPr>
          <w:rFonts w:asciiTheme="majorBidi" w:hAnsiTheme="majorBidi" w:cstheme="majorBidi"/>
          <w:sz w:val="28"/>
          <w:szCs w:val="28"/>
        </w:rPr>
        <w:t xml:space="preserve"> 10 to 20 mL/kg = 129 to 258 mL)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should be infused as rapidly as possible to establish normal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blood pressure. For symptomatic patients, including those with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seizures, the serum sodium concentration should be increased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8396E">
        <w:rPr>
          <w:rFonts w:asciiTheme="majorBidi" w:hAnsiTheme="majorBidi" w:cstheme="majorBidi"/>
          <w:sz w:val="28"/>
          <w:szCs w:val="28"/>
        </w:rPr>
        <w:t>acutely only to the degree necessary to abate symptoms.</w:t>
      </w:r>
    </w:p>
    <w:p w14:paraId="05839DA8" w14:textId="09D39EDA" w:rsidR="0098396E" w:rsidRDefault="0098396E" w:rsidP="0098396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48B2AB3" w14:textId="0C7110C8" w:rsidR="004E34FD" w:rsidRP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>Calculate H.S.’s fluid and electrolyte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needs. Her serum electrolyte results were as follows:</w:t>
      </w:r>
    </w:p>
    <w:p w14:paraId="09F1CB0E" w14:textId="77777777" w:rsidR="004E34FD" w:rsidRP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>Sodium, 128 mEq/L (normal, 135–145 mEq/L)</w:t>
      </w:r>
    </w:p>
    <w:p w14:paraId="1C078A24" w14:textId="77777777" w:rsidR="004E34FD" w:rsidRP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>Potassium, 3.1 mEq/L (normal, 3.5–5 mEq/L)</w:t>
      </w:r>
    </w:p>
    <w:p w14:paraId="684B4770" w14:textId="77777777" w:rsidR="004E34FD" w:rsidRP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>Chloride, 88 mEq/L (normal, 102–109 mEq/L)</w:t>
      </w:r>
    </w:p>
    <w:p w14:paraId="1681BE4E" w14:textId="700882DA" w:rsid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>HCO</w:t>
      </w:r>
      <w:r w:rsidRPr="004E34FD">
        <w:rPr>
          <w:rFonts w:asciiTheme="majorBidi" w:hAnsiTheme="majorBidi" w:cstheme="majorBidi" w:hint="eastAsia"/>
          <w:b/>
          <w:bCs/>
          <w:i/>
          <w:iCs/>
          <w:sz w:val="28"/>
          <w:szCs w:val="28"/>
          <w:vertAlign w:val="superscript"/>
        </w:rPr>
        <w:t>−</w:t>
      </w:r>
      <w:r w:rsidRPr="004E34FD">
        <w:rPr>
          <w:rFonts w:asciiTheme="majorBidi" w:hAnsiTheme="majorBidi" w:cstheme="majorBidi"/>
          <w:sz w:val="28"/>
          <w:szCs w:val="28"/>
          <w:vertAlign w:val="subscript"/>
        </w:rPr>
        <w:t>3</w:t>
      </w:r>
      <w:r w:rsidRPr="004E34FD">
        <w:rPr>
          <w:rFonts w:asciiTheme="majorBidi" w:hAnsiTheme="majorBidi" w:cstheme="majorBidi"/>
          <w:sz w:val="28"/>
          <w:szCs w:val="28"/>
        </w:rPr>
        <w:t>, 30 mEq/L (normal, 22–29 mEq/L)</w:t>
      </w:r>
    </w:p>
    <w:p w14:paraId="1190D54B" w14:textId="7C534787" w:rsid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2DCAED3D" w14:textId="12F6C474" w:rsidR="004E34FD" w:rsidRP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>In addition to normal maintenance fluids, H.S. must be provided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with fluids and electrolytes to replace her deficit secondary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to dehydration and compensate for increased insensible water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loss because of fever. Each component of the fluid can be calculated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separately.</w:t>
      </w:r>
    </w:p>
    <w:p w14:paraId="5CFC126D" w14:textId="1FDB5D1A" w:rsidR="004E34FD" w:rsidRP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 xml:space="preserve">Fluid deficit = Weight loss (kg) </w:t>
      </w:r>
      <w:r w:rsidRPr="004E34FD">
        <w:rPr>
          <w:rFonts w:asciiTheme="majorBidi" w:hAnsiTheme="majorBidi" w:cstheme="majorBidi" w:hint="eastAsia"/>
          <w:sz w:val="28"/>
          <w:szCs w:val="28"/>
        </w:rPr>
        <w:t>×</w:t>
      </w:r>
      <w:r w:rsidRPr="004E34FD">
        <w:rPr>
          <w:rFonts w:asciiTheme="majorBidi" w:hAnsiTheme="majorBidi" w:cstheme="majorBidi"/>
          <w:sz w:val="28"/>
          <w:szCs w:val="28"/>
        </w:rPr>
        <w:t xml:space="preserve"> 1,000 mL/kg </w:t>
      </w:r>
    </w:p>
    <w:p w14:paraId="14AF17F5" w14:textId="1DB2A848" w:rsidR="004E34FD" w:rsidRDefault="004E34FD" w:rsidP="00FB7FB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 xml:space="preserve">Fever adjustment = 10% </w:t>
      </w:r>
      <w:r w:rsidRPr="004E34FD">
        <w:rPr>
          <w:rFonts w:asciiTheme="majorBidi" w:hAnsiTheme="majorBidi" w:cstheme="majorBidi" w:hint="eastAsia"/>
          <w:sz w:val="28"/>
          <w:szCs w:val="28"/>
        </w:rPr>
        <w:t>×</w:t>
      </w:r>
      <w:r w:rsidRPr="004E34FD">
        <w:rPr>
          <w:rFonts w:asciiTheme="majorBidi" w:hAnsiTheme="majorBidi" w:cstheme="majorBidi"/>
          <w:sz w:val="28"/>
          <w:szCs w:val="28"/>
        </w:rPr>
        <w:t xml:space="preserve"> Maintenance for each </w:t>
      </w:r>
      <w:r w:rsidR="00FB7FB4">
        <w:rPr>
          <w:rFonts w:ascii="Times New Roman" w:hAnsi="Times New Roman" w:cs="Times New Roman"/>
          <w:sz w:val="28"/>
          <w:szCs w:val="28"/>
        </w:rPr>
        <w:t>°</w:t>
      </w:r>
      <w:r w:rsidRPr="004E34FD">
        <w:rPr>
          <w:rFonts w:asciiTheme="majorBidi" w:hAnsiTheme="majorBidi" w:cstheme="majorBidi"/>
          <w:sz w:val="28"/>
          <w:szCs w:val="28"/>
        </w:rPr>
        <w:t xml:space="preserve">C </w:t>
      </w:r>
      <w:r w:rsidRPr="004E34FD">
        <w:rPr>
          <w:rFonts w:asciiTheme="majorBidi" w:hAnsiTheme="majorBidi" w:cstheme="majorBidi" w:hint="eastAsia"/>
          <w:sz w:val="28"/>
          <w:szCs w:val="28"/>
        </w:rPr>
        <w:t>≥</w:t>
      </w:r>
      <w:r w:rsidR="00804D3C">
        <w:rPr>
          <w:rFonts w:asciiTheme="majorBidi" w:hAnsiTheme="majorBidi" w:cstheme="majorBidi"/>
          <w:sz w:val="28"/>
          <w:szCs w:val="28"/>
        </w:rPr>
        <w:t>37</w:t>
      </w:r>
      <w:r w:rsidR="00FB7FB4">
        <w:rPr>
          <w:rFonts w:ascii="Times New Roman" w:hAnsi="Times New Roman" w:cs="Times New Roman"/>
          <w:sz w:val="28"/>
          <w:szCs w:val="28"/>
        </w:rPr>
        <w:t>°</w:t>
      </w:r>
      <w:r w:rsidRPr="004E34FD">
        <w:rPr>
          <w:rFonts w:asciiTheme="majorBidi" w:hAnsiTheme="majorBidi" w:cstheme="majorBidi"/>
          <w:sz w:val="28"/>
          <w:szCs w:val="28"/>
        </w:rPr>
        <w:t xml:space="preserve">C </w:t>
      </w:r>
    </w:p>
    <w:p w14:paraId="44E2923B" w14:textId="1C36C0FD" w:rsidR="004E34FD" w:rsidRPr="004E34FD" w:rsidRDefault="004E34FD" w:rsidP="004E34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 xml:space="preserve">(CD </w:t>
      </w:r>
      <w:r w:rsidRPr="004E34FD">
        <w:rPr>
          <w:rFonts w:asciiTheme="majorBidi" w:hAnsiTheme="majorBidi" w:cstheme="majorBidi" w:hint="eastAsia"/>
          <w:sz w:val="28"/>
          <w:szCs w:val="28"/>
        </w:rPr>
        <w:t>−</w:t>
      </w:r>
      <w:r w:rsidRPr="004E34FD">
        <w:rPr>
          <w:rFonts w:asciiTheme="majorBidi" w:hAnsiTheme="majorBidi" w:cstheme="majorBidi"/>
          <w:sz w:val="28"/>
          <w:szCs w:val="28"/>
        </w:rPr>
        <w:t xml:space="preserve"> CO) </w:t>
      </w:r>
      <w:r w:rsidRPr="004E34FD">
        <w:rPr>
          <w:rFonts w:asciiTheme="majorBidi" w:hAnsiTheme="majorBidi" w:cstheme="majorBidi" w:hint="eastAsia"/>
          <w:sz w:val="28"/>
          <w:szCs w:val="28"/>
        </w:rPr>
        <w:t>×</w:t>
      </w:r>
      <w:r w:rsidRPr="004E34FD">
        <w:rPr>
          <w:rFonts w:asciiTheme="majorBidi" w:hAnsiTheme="majorBidi" w:cstheme="majorBidi"/>
          <w:sz w:val="28"/>
          <w:szCs w:val="28"/>
        </w:rPr>
        <w:t xml:space="preserve"> F</w:t>
      </w:r>
      <w:r w:rsidRPr="00FB7FB4">
        <w:rPr>
          <w:rFonts w:asciiTheme="majorBidi" w:hAnsiTheme="majorBidi" w:cstheme="majorBidi"/>
          <w:sz w:val="28"/>
          <w:szCs w:val="28"/>
          <w:vertAlign w:val="subscript"/>
        </w:rPr>
        <w:t>d</w:t>
      </w:r>
      <w:r w:rsidRPr="004E34FD"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 w:hint="eastAsia"/>
          <w:sz w:val="28"/>
          <w:szCs w:val="28"/>
        </w:rPr>
        <w:t>×</w:t>
      </w:r>
      <w:r w:rsidRPr="004E34FD">
        <w:rPr>
          <w:rFonts w:asciiTheme="majorBidi" w:hAnsiTheme="majorBidi" w:cstheme="majorBidi"/>
          <w:sz w:val="28"/>
          <w:szCs w:val="28"/>
        </w:rPr>
        <w:t xml:space="preserve">Weight = mEq required </w:t>
      </w:r>
    </w:p>
    <w:p w14:paraId="09E13D78" w14:textId="534363A2" w:rsidR="00885084" w:rsidRDefault="004E34FD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34FD">
        <w:rPr>
          <w:rFonts w:asciiTheme="majorBidi" w:hAnsiTheme="majorBidi" w:cstheme="majorBidi"/>
          <w:sz w:val="28"/>
          <w:szCs w:val="28"/>
        </w:rPr>
        <w:t xml:space="preserve">where </w:t>
      </w:r>
      <w:r w:rsidRPr="004E34FD">
        <w:rPr>
          <w:rFonts w:asciiTheme="majorBidi" w:hAnsiTheme="majorBidi" w:cstheme="majorBidi"/>
          <w:i/>
          <w:iCs/>
          <w:sz w:val="28"/>
          <w:szCs w:val="28"/>
        </w:rPr>
        <w:t xml:space="preserve">CD </w:t>
      </w:r>
      <w:r w:rsidRPr="004E34FD">
        <w:rPr>
          <w:rFonts w:asciiTheme="majorBidi" w:hAnsiTheme="majorBidi" w:cstheme="majorBidi"/>
          <w:sz w:val="28"/>
          <w:szCs w:val="28"/>
        </w:rPr>
        <w:t>is the concentration of sodium desired (mEq/L),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i/>
          <w:iCs/>
          <w:sz w:val="28"/>
          <w:szCs w:val="28"/>
        </w:rPr>
        <w:t xml:space="preserve">CO </w:t>
      </w:r>
      <w:r w:rsidRPr="004E34FD">
        <w:rPr>
          <w:rFonts w:asciiTheme="majorBidi" w:hAnsiTheme="majorBidi" w:cstheme="majorBidi"/>
          <w:sz w:val="28"/>
          <w:szCs w:val="28"/>
        </w:rPr>
        <w:t xml:space="preserve">is the concentration observed (mEq/L), </w:t>
      </w:r>
      <w:r w:rsidRPr="004E34FD">
        <w:rPr>
          <w:rFonts w:asciiTheme="majorBidi" w:hAnsiTheme="majorBidi" w:cstheme="majorBidi"/>
          <w:i/>
          <w:iCs/>
          <w:sz w:val="28"/>
          <w:szCs w:val="28"/>
        </w:rPr>
        <w:t>F</w:t>
      </w:r>
      <w:r w:rsidRPr="00FB7FB4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d</w:t>
      </w:r>
      <w:r w:rsidRPr="004E34F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is the apparent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 xml:space="preserve">distribution factor as a fraction of body weight (Table </w:t>
      </w:r>
      <w:r w:rsidR="00574EA2">
        <w:rPr>
          <w:rFonts w:asciiTheme="majorBidi" w:hAnsiTheme="majorBidi" w:cstheme="majorBidi"/>
          <w:sz w:val="28"/>
          <w:szCs w:val="28"/>
        </w:rPr>
        <w:t>7-4</w:t>
      </w:r>
      <w:r w:rsidR="00950574">
        <w:rPr>
          <w:rFonts w:asciiTheme="majorBidi" w:hAnsiTheme="majorBidi" w:cstheme="majorBidi"/>
          <w:sz w:val="28"/>
          <w:szCs w:val="28"/>
        </w:rPr>
        <w:t xml:space="preserve">), </w:t>
      </w:r>
      <w:r w:rsidRPr="004E34FD">
        <w:rPr>
          <w:rFonts w:asciiTheme="majorBidi" w:hAnsiTheme="majorBidi" w:cstheme="majorBidi"/>
          <w:sz w:val="28"/>
          <w:szCs w:val="28"/>
        </w:rPr>
        <w:t>and weight is the baseline weight before illness (kg). In consideration</w:t>
      </w:r>
      <w:r w:rsidR="00950574"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of both maintenance needs and current deficits, fluid</w:t>
      </w:r>
      <w:r w:rsidR="00950574"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and electrolyte requirements for H.S. would be estimated as</w:t>
      </w:r>
      <w:r w:rsidR="00950574">
        <w:rPr>
          <w:rFonts w:asciiTheme="majorBidi" w:hAnsiTheme="majorBidi" w:cstheme="majorBidi"/>
          <w:sz w:val="28"/>
          <w:szCs w:val="28"/>
        </w:rPr>
        <w:t xml:space="preserve"> </w:t>
      </w:r>
      <w:r w:rsidRPr="004E34FD">
        <w:rPr>
          <w:rFonts w:asciiTheme="majorBidi" w:hAnsiTheme="majorBidi" w:cstheme="majorBidi"/>
          <w:sz w:val="28"/>
          <w:szCs w:val="28"/>
        </w:rPr>
        <w:t>follows.</w:t>
      </w:r>
    </w:p>
    <w:p w14:paraId="775459B8" w14:textId="4EEA65CC" w:rsidR="008B3EBC" w:rsidRDefault="008B3EBC" w:rsidP="008B3EB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4904FC" w14:textId="3B0F2425" w:rsidR="002A156A" w:rsidRDefault="00574EA2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Table 7-4</w:t>
      </w:r>
      <w:r w:rsidR="002A156A" w:rsidRPr="00CE4A28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950574" w:rsidRPr="00950574">
        <w:rPr>
          <w:rFonts w:asciiTheme="majorBidi" w:hAnsiTheme="majorBidi" w:cstheme="majorBidi"/>
          <w:b/>
          <w:bCs/>
          <w:sz w:val="28"/>
          <w:szCs w:val="28"/>
        </w:rPr>
        <w:t>Electrolytes and Apparent Distribution</w:t>
      </w:r>
      <w:r w:rsidR="002A156A" w:rsidRPr="00CE4A28">
        <w:rPr>
          <w:rFonts w:asciiTheme="majorBidi" w:hAnsiTheme="majorBidi" w:cstheme="majorBidi"/>
          <w:b/>
          <w:b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50574" w14:paraId="1A68A217" w14:textId="77777777" w:rsidTr="00950574">
        <w:tc>
          <w:tcPr>
            <w:tcW w:w="4261" w:type="dxa"/>
          </w:tcPr>
          <w:p w14:paraId="794F2C8F" w14:textId="017A91AE" w:rsid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50574">
              <w:rPr>
                <w:rFonts w:asciiTheme="majorBidi" w:hAnsiTheme="majorBidi" w:cstheme="majorBidi"/>
                <w:sz w:val="28"/>
                <w:szCs w:val="28"/>
              </w:rPr>
              <w:t>Electrolyte</w:t>
            </w:r>
          </w:p>
        </w:tc>
        <w:tc>
          <w:tcPr>
            <w:tcW w:w="4261" w:type="dxa"/>
          </w:tcPr>
          <w:p w14:paraId="6D6D6FD8" w14:textId="101CAE4A" w:rsid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50574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Pr="00950574">
              <w:rPr>
                <w:rFonts w:asciiTheme="majorBidi" w:hAnsiTheme="majorBidi" w:cstheme="majorBidi"/>
                <w:sz w:val="28"/>
                <w:szCs w:val="28"/>
                <w:vertAlign w:val="subscript"/>
              </w:rPr>
              <w:t>d</w:t>
            </w:r>
            <w:r w:rsidRPr="00950574">
              <w:rPr>
                <w:rFonts w:asciiTheme="majorBidi" w:hAnsiTheme="majorBidi" w:cstheme="majorBidi"/>
                <w:sz w:val="28"/>
                <w:szCs w:val="28"/>
              </w:rPr>
              <w:t xml:space="preserve"> (L/kg)</w:t>
            </w:r>
          </w:p>
        </w:tc>
      </w:tr>
      <w:tr w:rsidR="00950574" w14:paraId="661053AC" w14:textId="77777777" w:rsidTr="00950574">
        <w:tc>
          <w:tcPr>
            <w:tcW w:w="4261" w:type="dxa"/>
          </w:tcPr>
          <w:p w14:paraId="3B1F0022" w14:textId="2474EC3C" w:rsidR="00950574" w:rsidRP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74">
              <w:rPr>
                <w:rFonts w:ascii="Times New Roman" w:hAnsi="Times New Roman" w:cs="Times New Roman"/>
                <w:sz w:val="28"/>
                <w:szCs w:val="28"/>
              </w:rPr>
              <w:t xml:space="preserve">Sodium </w:t>
            </w:r>
          </w:p>
        </w:tc>
        <w:tc>
          <w:tcPr>
            <w:tcW w:w="4261" w:type="dxa"/>
          </w:tcPr>
          <w:p w14:paraId="2F54DF89" w14:textId="35E787FB" w:rsidR="00950574" w:rsidRP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74">
              <w:rPr>
                <w:rFonts w:ascii="Times New Roman" w:hAnsi="Times New Roman" w:cs="Times New Roman"/>
                <w:sz w:val="28"/>
                <w:szCs w:val="28"/>
              </w:rPr>
              <w:t>0.6–0.7</w:t>
            </w:r>
          </w:p>
        </w:tc>
      </w:tr>
      <w:tr w:rsidR="00950574" w14:paraId="764E44D2" w14:textId="77777777" w:rsidTr="00950574">
        <w:tc>
          <w:tcPr>
            <w:tcW w:w="4261" w:type="dxa"/>
          </w:tcPr>
          <w:p w14:paraId="1B66E393" w14:textId="34977358" w:rsidR="00950574" w:rsidRP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74">
              <w:rPr>
                <w:rFonts w:ascii="Times New Roman" w:hAnsi="Times New Roman" w:cs="Times New Roman"/>
                <w:sz w:val="28"/>
                <w:szCs w:val="28"/>
              </w:rPr>
              <w:t xml:space="preserve">Bicarbonate </w:t>
            </w:r>
          </w:p>
        </w:tc>
        <w:tc>
          <w:tcPr>
            <w:tcW w:w="4261" w:type="dxa"/>
          </w:tcPr>
          <w:p w14:paraId="55353C11" w14:textId="0E586E65" w:rsidR="00950574" w:rsidRP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74">
              <w:rPr>
                <w:rFonts w:ascii="Times New Roman" w:hAnsi="Times New Roman" w:cs="Times New Roman"/>
                <w:sz w:val="28"/>
                <w:szCs w:val="28"/>
              </w:rPr>
              <w:t>0.4–0.5</w:t>
            </w:r>
          </w:p>
        </w:tc>
      </w:tr>
      <w:tr w:rsidR="00950574" w14:paraId="61E8D871" w14:textId="77777777" w:rsidTr="00950574">
        <w:tc>
          <w:tcPr>
            <w:tcW w:w="4261" w:type="dxa"/>
          </w:tcPr>
          <w:p w14:paraId="33B314AA" w14:textId="3130BDA1" w:rsidR="00950574" w:rsidRP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74">
              <w:rPr>
                <w:rFonts w:ascii="Times New Roman" w:hAnsi="Times New Roman" w:cs="Times New Roman"/>
                <w:sz w:val="28"/>
                <w:szCs w:val="28"/>
              </w:rPr>
              <w:t xml:space="preserve">Chloride </w:t>
            </w:r>
          </w:p>
        </w:tc>
        <w:tc>
          <w:tcPr>
            <w:tcW w:w="4261" w:type="dxa"/>
          </w:tcPr>
          <w:p w14:paraId="782C98A5" w14:textId="718FD3BB" w:rsidR="00950574" w:rsidRP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74">
              <w:rPr>
                <w:rFonts w:ascii="Times New Roman" w:hAnsi="Times New Roman" w:cs="Times New Roman"/>
                <w:sz w:val="28"/>
                <w:szCs w:val="28"/>
              </w:rPr>
              <w:t>0.2–0.3</w:t>
            </w:r>
          </w:p>
        </w:tc>
      </w:tr>
      <w:tr w:rsidR="00950574" w14:paraId="68853CE5" w14:textId="77777777" w:rsidTr="00B268D7">
        <w:tc>
          <w:tcPr>
            <w:tcW w:w="8522" w:type="dxa"/>
            <w:gridSpan w:val="2"/>
          </w:tcPr>
          <w:p w14:paraId="019FBF94" w14:textId="1FC066BC" w:rsidR="00950574" w:rsidRPr="00950574" w:rsidRDefault="00950574" w:rsidP="00950574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574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Pr="0095057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d</w:t>
            </w:r>
            <w:r w:rsidRPr="00950574">
              <w:rPr>
                <w:rFonts w:ascii="Times New Roman" w:hAnsi="Times New Roman" w:cs="Times New Roman"/>
                <w:sz w:val="28"/>
                <w:szCs w:val="28"/>
              </w:rPr>
              <w:t>, apparent distribution factor as a fraction of body weight.</w:t>
            </w:r>
          </w:p>
        </w:tc>
      </w:tr>
    </w:tbl>
    <w:p w14:paraId="34F95192" w14:textId="77777777" w:rsidR="00950574" w:rsidRPr="00950574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950574">
        <w:rPr>
          <w:rFonts w:asciiTheme="majorBidi" w:hAnsiTheme="majorBidi" w:cstheme="majorBidi"/>
          <w:i/>
          <w:iCs/>
          <w:color w:val="FF0000"/>
          <w:sz w:val="28"/>
          <w:szCs w:val="28"/>
        </w:rPr>
        <w:lastRenderedPageBreak/>
        <w:t>FLUID</w:t>
      </w:r>
    </w:p>
    <w:p w14:paraId="5BBB11C6" w14:textId="7CE62F50" w:rsidR="00950574" w:rsidRPr="00950574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0574">
        <w:rPr>
          <w:rFonts w:asciiTheme="majorBidi" w:hAnsiTheme="majorBidi" w:cstheme="majorBidi"/>
          <w:sz w:val="28"/>
          <w:szCs w:val="28"/>
        </w:rPr>
        <w:t xml:space="preserve">Maintenance </w:t>
      </w:r>
      <w:r>
        <w:rPr>
          <w:rFonts w:asciiTheme="majorBidi" w:hAnsiTheme="majorBidi" w:cstheme="majorBidi"/>
          <w:sz w:val="28"/>
          <w:szCs w:val="28"/>
        </w:rPr>
        <w:t xml:space="preserve">       </w:t>
      </w:r>
      <w:r w:rsidRPr="00950574">
        <w:rPr>
          <w:rFonts w:asciiTheme="majorBidi" w:hAnsiTheme="majorBidi" w:cstheme="majorBidi"/>
          <w:sz w:val="28"/>
          <w:szCs w:val="28"/>
        </w:rPr>
        <w:t xml:space="preserve">1,000 mL + (50 </w:t>
      </w:r>
      <w:r w:rsidRPr="00950574">
        <w:rPr>
          <w:rFonts w:asciiTheme="majorBidi" w:hAnsiTheme="majorBidi" w:cstheme="majorBidi" w:hint="eastAsia"/>
          <w:sz w:val="28"/>
          <w:szCs w:val="28"/>
        </w:rPr>
        <w:t>×</w:t>
      </w:r>
      <w:r w:rsidRPr="00950574">
        <w:rPr>
          <w:rFonts w:asciiTheme="majorBidi" w:hAnsiTheme="majorBidi" w:cstheme="majorBidi"/>
          <w:sz w:val="28"/>
          <w:szCs w:val="28"/>
        </w:rPr>
        <w:t xml:space="preserve"> 2</w:t>
      </w:r>
      <w:r w:rsidRPr="00950574">
        <w:rPr>
          <w:rFonts w:asciiTheme="majorBidi" w:hAnsiTheme="majorBidi" w:cstheme="majorBidi"/>
          <w:i/>
          <w:iCs/>
          <w:sz w:val="28"/>
          <w:szCs w:val="28"/>
        </w:rPr>
        <w:t>.</w:t>
      </w:r>
      <w:r w:rsidRPr="00950574">
        <w:rPr>
          <w:rFonts w:asciiTheme="majorBidi" w:hAnsiTheme="majorBidi" w:cstheme="majorBidi"/>
          <w:sz w:val="28"/>
          <w:szCs w:val="28"/>
        </w:rPr>
        <w:t>9) = 1,145 mL</w:t>
      </w:r>
    </w:p>
    <w:p w14:paraId="32A5BA90" w14:textId="4A7E4427" w:rsidR="00950574" w:rsidRPr="00950574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0574">
        <w:rPr>
          <w:rFonts w:asciiTheme="majorBidi" w:hAnsiTheme="majorBidi" w:cstheme="majorBidi"/>
          <w:sz w:val="28"/>
          <w:szCs w:val="28"/>
        </w:rPr>
        <w:t xml:space="preserve">Fever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 w:rsidRPr="00950574">
        <w:rPr>
          <w:rFonts w:asciiTheme="majorBidi" w:hAnsiTheme="majorBidi" w:cstheme="majorBidi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°</w:t>
      </w:r>
      <w:r w:rsidRPr="00950574">
        <w:rPr>
          <w:rFonts w:asciiTheme="majorBidi" w:hAnsiTheme="majorBidi" w:cstheme="majorBidi"/>
          <w:sz w:val="28"/>
          <w:szCs w:val="28"/>
        </w:rPr>
        <w:t xml:space="preserve">C </w:t>
      </w:r>
      <w:r w:rsidRPr="00950574">
        <w:rPr>
          <w:rFonts w:asciiTheme="majorBidi" w:hAnsiTheme="majorBidi" w:cstheme="majorBidi" w:hint="eastAsia"/>
          <w:sz w:val="28"/>
          <w:szCs w:val="28"/>
        </w:rPr>
        <w:t>×</w:t>
      </w:r>
      <w:r w:rsidRPr="00950574">
        <w:rPr>
          <w:rFonts w:asciiTheme="majorBidi" w:hAnsiTheme="majorBidi" w:cstheme="majorBidi"/>
          <w:sz w:val="28"/>
          <w:szCs w:val="28"/>
        </w:rPr>
        <w:t xml:space="preserve"> 0.1 (1,145) = 229 mL</w:t>
      </w:r>
    </w:p>
    <w:p w14:paraId="1AF2F3CA" w14:textId="6E8CD9DC" w:rsidR="00950574" w:rsidRPr="00950574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0574">
        <w:rPr>
          <w:rFonts w:asciiTheme="majorBidi" w:hAnsiTheme="majorBidi" w:cstheme="majorBidi"/>
          <w:sz w:val="28"/>
          <w:szCs w:val="28"/>
        </w:rPr>
        <w:t xml:space="preserve">Deficit </w:t>
      </w:r>
      <w:r w:rsidR="00804D3C">
        <w:rPr>
          <w:rFonts w:asciiTheme="majorBidi" w:hAnsiTheme="majorBidi" w:cstheme="majorBidi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 </w:t>
      </w:r>
      <w:r w:rsidR="00804D3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Pr="00950574">
        <w:rPr>
          <w:rFonts w:asciiTheme="majorBidi" w:hAnsiTheme="majorBidi" w:cstheme="majorBidi"/>
          <w:sz w:val="28"/>
          <w:szCs w:val="28"/>
        </w:rPr>
        <w:t xml:space="preserve">1.5 kg </w:t>
      </w:r>
      <w:r w:rsidRPr="00950574">
        <w:rPr>
          <w:rFonts w:asciiTheme="majorBidi" w:hAnsiTheme="majorBidi" w:cstheme="majorBidi" w:hint="eastAsia"/>
          <w:sz w:val="28"/>
          <w:szCs w:val="28"/>
        </w:rPr>
        <w:t>×</w:t>
      </w:r>
      <w:r w:rsidRPr="00950574">
        <w:rPr>
          <w:rFonts w:asciiTheme="majorBidi" w:hAnsiTheme="majorBidi" w:cstheme="majorBidi"/>
          <w:sz w:val="28"/>
          <w:szCs w:val="28"/>
        </w:rPr>
        <w:t xml:space="preserve"> 1,000 mL/kg = 1,500 mL</w:t>
      </w:r>
    </w:p>
    <w:p w14:paraId="15658DA4" w14:textId="2981220E" w:rsidR="008B3EBC" w:rsidRDefault="00804D3C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</w:t>
      </w:r>
      <w:r w:rsidR="00950574">
        <w:rPr>
          <w:rFonts w:asciiTheme="majorBidi" w:hAnsiTheme="majorBidi" w:cstheme="majorBidi"/>
          <w:sz w:val="28"/>
          <w:szCs w:val="28"/>
        </w:rPr>
        <w:t xml:space="preserve">  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950574">
        <w:rPr>
          <w:rFonts w:asciiTheme="majorBidi" w:hAnsiTheme="majorBidi" w:cstheme="majorBidi"/>
          <w:sz w:val="28"/>
          <w:szCs w:val="28"/>
        </w:rPr>
        <w:t xml:space="preserve">    </w:t>
      </w:r>
      <w:r w:rsidR="00950574" w:rsidRPr="00950574">
        <w:rPr>
          <w:rFonts w:asciiTheme="majorBidi" w:hAnsiTheme="majorBidi" w:cstheme="majorBidi"/>
          <w:sz w:val="28"/>
          <w:szCs w:val="28"/>
        </w:rPr>
        <w:t>Total fluid = 2,874 mL</w:t>
      </w:r>
    </w:p>
    <w:p w14:paraId="4788C1A3" w14:textId="77777777" w:rsidR="00950574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2A98C56" w14:textId="77777777" w:rsidR="00950574" w:rsidRPr="00950574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950574">
        <w:rPr>
          <w:rFonts w:asciiTheme="majorBidi" w:hAnsiTheme="majorBidi" w:cstheme="majorBidi"/>
          <w:i/>
          <w:iCs/>
          <w:color w:val="FF0000"/>
          <w:sz w:val="28"/>
          <w:szCs w:val="28"/>
        </w:rPr>
        <w:t>SODIUM</w:t>
      </w:r>
    </w:p>
    <w:p w14:paraId="3D79703F" w14:textId="3CE8D322" w:rsidR="00950574" w:rsidRPr="00950574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0574">
        <w:rPr>
          <w:rFonts w:asciiTheme="majorBidi" w:hAnsiTheme="majorBidi" w:cstheme="majorBidi"/>
          <w:sz w:val="28"/>
          <w:szCs w:val="28"/>
        </w:rPr>
        <w:t>Maintenance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</w:t>
      </w:r>
      <w:r w:rsidRPr="00950574">
        <w:rPr>
          <w:rFonts w:asciiTheme="majorBidi" w:hAnsiTheme="majorBidi" w:cstheme="majorBidi"/>
          <w:sz w:val="28"/>
          <w:szCs w:val="28"/>
        </w:rPr>
        <w:t xml:space="preserve"> 3 mEq/kg </w:t>
      </w:r>
      <w:r w:rsidRPr="00950574">
        <w:rPr>
          <w:rFonts w:asciiTheme="majorBidi" w:hAnsiTheme="majorBidi" w:cstheme="majorBidi" w:hint="eastAsia"/>
          <w:sz w:val="28"/>
          <w:szCs w:val="28"/>
        </w:rPr>
        <w:t>×</w:t>
      </w:r>
      <w:r w:rsidRPr="00950574">
        <w:rPr>
          <w:rFonts w:asciiTheme="majorBidi" w:hAnsiTheme="majorBidi" w:cstheme="majorBidi"/>
          <w:sz w:val="28"/>
          <w:szCs w:val="28"/>
        </w:rPr>
        <w:t xml:space="preserve"> 12.9 kg = 38.7</w:t>
      </w:r>
    </w:p>
    <w:p w14:paraId="3C15E7F4" w14:textId="72340F1E" w:rsidR="00950574" w:rsidRPr="00950574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50574">
        <w:rPr>
          <w:rFonts w:asciiTheme="majorBidi" w:hAnsiTheme="majorBidi" w:cstheme="majorBidi"/>
          <w:sz w:val="28"/>
          <w:szCs w:val="28"/>
        </w:rPr>
        <w:t xml:space="preserve">Deficit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  <w:r w:rsidRPr="00950574">
        <w:rPr>
          <w:rFonts w:asciiTheme="majorBidi" w:hAnsiTheme="majorBidi" w:cstheme="majorBidi"/>
          <w:sz w:val="28"/>
          <w:szCs w:val="28"/>
        </w:rPr>
        <w:t xml:space="preserve">(135 </w:t>
      </w:r>
      <w:r w:rsidRPr="00950574">
        <w:rPr>
          <w:rFonts w:asciiTheme="majorBidi" w:hAnsiTheme="majorBidi" w:cstheme="majorBidi" w:hint="eastAsia"/>
          <w:sz w:val="28"/>
          <w:szCs w:val="28"/>
        </w:rPr>
        <w:t>−</w:t>
      </w:r>
      <w:r w:rsidRPr="00950574">
        <w:rPr>
          <w:rFonts w:asciiTheme="majorBidi" w:hAnsiTheme="majorBidi" w:cstheme="majorBidi"/>
          <w:sz w:val="28"/>
          <w:szCs w:val="28"/>
        </w:rPr>
        <w:t xml:space="preserve"> 128 mEq/L) </w:t>
      </w:r>
      <w:r w:rsidRPr="00950574">
        <w:rPr>
          <w:rFonts w:asciiTheme="majorBidi" w:hAnsiTheme="majorBidi" w:cstheme="majorBidi" w:hint="eastAsia"/>
          <w:sz w:val="28"/>
          <w:szCs w:val="28"/>
        </w:rPr>
        <w:t>×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50574">
        <w:rPr>
          <w:rFonts w:asciiTheme="majorBidi" w:hAnsiTheme="majorBidi" w:cstheme="majorBidi"/>
          <w:sz w:val="28"/>
          <w:szCs w:val="28"/>
        </w:rPr>
        <w:t xml:space="preserve">0.6 L/kg </w:t>
      </w:r>
      <w:r w:rsidRPr="00950574">
        <w:rPr>
          <w:rFonts w:asciiTheme="majorBidi" w:hAnsiTheme="majorBidi" w:cstheme="majorBidi" w:hint="eastAsia"/>
          <w:sz w:val="28"/>
          <w:szCs w:val="28"/>
        </w:rPr>
        <w:t>×</w:t>
      </w:r>
      <w:r w:rsidRPr="00950574">
        <w:rPr>
          <w:rFonts w:asciiTheme="majorBidi" w:hAnsiTheme="majorBidi" w:cstheme="majorBidi"/>
          <w:sz w:val="28"/>
          <w:szCs w:val="28"/>
        </w:rPr>
        <w:t xml:space="preserve"> 12.9 kg = 54.2</w:t>
      </w:r>
    </w:p>
    <w:p w14:paraId="3D955016" w14:textId="7DFC5533" w:rsidR="008B3EBC" w:rsidRDefault="00950574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</w:t>
      </w:r>
      <w:r w:rsidRPr="00950574">
        <w:rPr>
          <w:rFonts w:asciiTheme="majorBidi" w:hAnsiTheme="majorBidi" w:cstheme="majorBidi"/>
          <w:sz w:val="28"/>
          <w:szCs w:val="28"/>
        </w:rPr>
        <w:t xml:space="preserve">Total sodium </w:t>
      </w:r>
      <w:r w:rsidRPr="00950574">
        <w:rPr>
          <w:rFonts w:ascii="Cambria Math" w:hAnsi="Cambria Math" w:cs="Cambria Math"/>
          <w:sz w:val="28"/>
          <w:szCs w:val="28"/>
        </w:rPr>
        <w:t>∼</w:t>
      </w:r>
      <w:r w:rsidRPr="00950574">
        <w:rPr>
          <w:rFonts w:asciiTheme="majorBidi" w:hAnsiTheme="majorBidi" w:cstheme="majorBidi"/>
          <w:sz w:val="28"/>
          <w:szCs w:val="28"/>
        </w:rPr>
        <w:t xml:space="preserve"> 93 mEq</w:t>
      </w:r>
    </w:p>
    <w:p w14:paraId="4F969B2E" w14:textId="5F5F16E3" w:rsidR="00EE7F15" w:rsidRPr="00EE7F15" w:rsidRDefault="00EE7F15" w:rsidP="0095057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EA46F71" w14:textId="77777777" w:rsidR="003A4640" w:rsidRPr="003A4640" w:rsidRDefault="003A4640" w:rsidP="003A46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3A4640">
        <w:rPr>
          <w:rFonts w:asciiTheme="majorBidi" w:hAnsiTheme="majorBidi" w:cstheme="majorBidi"/>
          <w:i/>
          <w:iCs/>
          <w:color w:val="FF0000"/>
          <w:sz w:val="28"/>
          <w:szCs w:val="28"/>
        </w:rPr>
        <w:t>CHLORIDE</w:t>
      </w:r>
    </w:p>
    <w:p w14:paraId="77A53A04" w14:textId="286EA608" w:rsidR="008B3EBC" w:rsidRDefault="003A4640" w:rsidP="003A46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4640">
        <w:rPr>
          <w:rFonts w:asciiTheme="majorBidi" w:hAnsiTheme="majorBidi" w:cstheme="majorBidi"/>
          <w:sz w:val="28"/>
          <w:szCs w:val="28"/>
        </w:rPr>
        <w:t>H.S. has a mild metabolic alkalosis as evidenced by her serum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chloride of 88 mEq/L and her serum bicarbonate of 30 mEq/L.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This is most likely because of the loss of hydrogen and chloride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in her vomitus. Thus, both the sodium and potassium replacements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should be administered as chloride salts.</w:t>
      </w:r>
    </w:p>
    <w:p w14:paraId="37E457D3" w14:textId="77777777" w:rsidR="003A4640" w:rsidRPr="00EE7F15" w:rsidRDefault="003A4640" w:rsidP="003A46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0379A8A6" w14:textId="77777777" w:rsidR="003A4640" w:rsidRPr="003A4640" w:rsidRDefault="003A4640" w:rsidP="003A46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color w:val="FF0000"/>
          <w:sz w:val="28"/>
          <w:szCs w:val="28"/>
        </w:rPr>
      </w:pPr>
      <w:r w:rsidRPr="003A4640">
        <w:rPr>
          <w:rFonts w:asciiTheme="majorBidi" w:hAnsiTheme="majorBidi" w:cstheme="majorBidi"/>
          <w:i/>
          <w:iCs/>
          <w:color w:val="FF0000"/>
          <w:sz w:val="28"/>
          <w:szCs w:val="28"/>
        </w:rPr>
        <w:t>POTASSIUM</w:t>
      </w:r>
    </w:p>
    <w:p w14:paraId="246AB406" w14:textId="144C8871" w:rsidR="008B3EBC" w:rsidRPr="00EE7F15" w:rsidRDefault="003A4640" w:rsidP="003A464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3A4640">
        <w:rPr>
          <w:rFonts w:asciiTheme="majorBidi" w:hAnsiTheme="majorBidi" w:cstheme="majorBidi"/>
          <w:sz w:val="28"/>
          <w:szCs w:val="28"/>
        </w:rPr>
        <w:t>Potassium is primarily an intracellular ion. It moves in and out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of cells in exchange for hydrogen ions to maintain a normal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blood pH.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Therefore, in metabolic alkalosis, the intracellular shift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of potassium will decrease the serum potassium concentration.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When the pH normalizes, as will occur with rehydration,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hydrogen ions will move intracellularly and the potassium will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move extracellularly, thus causing the serum potassium concentration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to increase. Additionally, potassium is also excreted by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kidney in exchange for hydrogen ion conservation. These factors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make the serum potassium concentration difficult to interpret.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Intravascular volume depletion causes hypoperfusion of the kidney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and can result in acute renal failure; therefore, the prudent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approach is to give no potassium until urine output is clearly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established. Then, only maintenance doses of potassium should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be administered until a normal acid–base and fluid status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established and the serum potassium can be assessed more accurately.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 xml:space="preserve">Hence, H.S. should receive approximately 26 to 39 </w:t>
      </w:r>
      <w:r>
        <w:rPr>
          <w:rFonts w:asciiTheme="majorBidi" w:hAnsiTheme="majorBidi" w:cstheme="majorBidi"/>
          <w:sz w:val="28"/>
          <w:szCs w:val="28"/>
        </w:rPr>
        <w:t>mEq</w:t>
      </w:r>
      <w:r w:rsidRPr="003A4640">
        <w:rPr>
          <w:rFonts w:asciiTheme="majorBidi" w:hAnsiTheme="majorBidi" w:cstheme="majorBidi"/>
          <w:sz w:val="28"/>
          <w:szCs w:val="28"/>
        </w:rPr>
        <w:t xml:space="preserve">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 xml:space="preserve">potassium (2–3 </w:t>
      </w:r>
      <w:r>
        <w:rPr>
          <w:rFonts w:asciiTheme="majorBidi" w:hAnsiTheme="majorBidi" w:cstheme="majorBidi"/>
          <w:sz w:val="28"/>
          <w:szCs w:val="28"/>
        </w:rPr>
        <w:t>mEq</w:t>
      </w:r>
      <w:r w:rsidRPr="003A4640">
        <w:rPr>
          <w:rFonts w:asciiTheme="majorBidi" w:hAnsiTheme="majorBidi" w:cstheme="majorBidi"/>
          <w:sz w:val="28"/>
          <w:szCs w:val="28"/>
        </w:rPr>
        <w:t>/kg</w:t>
      </w:r>
      <w:r w:rsidRPr="003A4640">
        <w:rPr>
          <w:rFonts w:asciiTheme="majorBidi" w:hAnsiTheme="majorBidi" w:cstheme="majorBidi" w:hint="eastAsia"/>
          <w:sz w:val="28"/>
          <w:szCs w:val="28"/>
        </w:rPr>
        <w:t>×</w:t>
      </w:r>
      <w:r w:rsidRPr="003A4640">
        <w:rPr>
          <w:rFonts w:asciiTheme="majorBidi" w:hAnsiTheme="majorBidi" w:cstheme="majorBidi"/>
          <w:sz w:val="28"/>
          <w:szCs w:val="28"/>
        </w:rPr>
        <w:t>12.9 kg) once urine flow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A4640">
        <w:rPr>
          <w:rFonts w:asciiTheme="majorBidi" w:hAnsiTheme="majorBidi" w:cstheme="majorBidi"/>
          <w:sz w:val="28"/>
          <w:szCs w:val="28"/>
        </w:rPr>
        <w:t>is established.</w:t>
      </w:r>
    </w:p>
    <w:p w14:paraId="435B6A54" w14:textId="11503275" w:rsidR="00EE7F15" w:rsidRDefault="00EE7F15" w:rsidP="00EE7F1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CAC62D5" w14:textId="0C58654A" w:rsidR="00574EA2" w:rsidRDefault="00574EA2" w:rsidP="00574E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6328E8B" w14:textId="4C9328FC" w:rsidR="00574EA2" w:rsidRDefault="00574EA2" w:rsidP="00574E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4498381E" w14:textId="77777777" w:rsidR="00574EA2" w:rsidRPr="00B72695" w:rsidRDefault="00574EA2" w:rsidP="00574EA2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32C3D1D" w14:textId="77777777" w:rsidR="000245C1" w:rsidRDefault="000245C1" w:rsidP="000245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70C0"/>
          <w:sz w:val="32"/>
          <w:szCs w:val="32"/>
        </w:rPr>
      </w:pPr>
      <w:r w:rsidRPr="000245C1">
        <w:rPr>
          <w:rFonts w:asciiTheme="majorBidi" w:hAnsiTheme="majorBidi" w:cstheme="majorBidi"/>
          <w:b/>
          <w:bCs/>
          <w:color w:val="0070C0"/>
          <w:sz w:val="32"/>
          <w:szCs w:val="32"/>
        </w:rPr>
        <w:lastRenderedPageBreak/>
        <w:t>Administration of Fluid Requirements</w:t>
      </w:r>
    </w:p>
    <w:p w14:paraId="63EA512A" w14:textId="2E576716" w:rsidR="000245C1" w:rsidRDefault="000245C1" w:rsidP="000245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45C1">
        <w:rPr>
          <w:rFonts w:asciiTheme="majorBidi" w:hAnsiTheme="majorBidi" w:cstheme="majorBidi"/>
          <w:sz w:val="28"/>
          <w:szCs w:val="28"/>
        </w:rPr>
        <w:t>How should these calculated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needs be given?</w:t>
      </w:r>
    </w:p>
    <w:p w14:paraId="6A1A80F2" w14:textId="77777777" w:rsidR="000245C1" w:rsidRDefault="000245C1" w:rsidP="000245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82F960E" w14:textId="1C092E67" w:rsidR="000245C1" w:rsidRPr="000245C1" w:rsidRDefault="000245C1" w:rsidP="000245C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45C1">
        <w:rPr>
          <w:rFonts w:asciiTheme="majorBidi" w:hAnsiTheme="majorBidi" w:cstheme="majorBidi"/>
          <w:sz w:val="28"/>
          <w:szCs w:val="28"/>
        </w:rPr>
        <w:t>Requirements for the first 24 hours of parenteral fluid therapy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should provide approximately 2,875 mL of fluid to account for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maintenance fluid needs, fever replacement, and deficit replacement.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In addition to fluid, at least 93 mEq of sodium (maintenance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needs plus deficit replacement) should be provided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first 24 hours. It is important to provide sufficient amounts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sodium and water.</w:t>
      </w:r>
    </w:p>
    <w:p w14:paraId="3CF44D3F" w14:textId="5AD0AC26" w:rsidR="000245C1" w:rsidRPr="000245C1" w:rsidRDefault="000245C1" w:rsidP="000245C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45C1">
        <w:rPr>
          <w:rFonts w:asciiTheme="majorBidi" w:hAnsiTheme="majorBidi" w:cstheme="majorBidi"/>
          <w:sz w:val="28"/>
          <w:szCs w:val="28"/>
        </w:rPr>
        <w:t>Rehydration fluids are usually dispensed in volumes less than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the 24-hour requirement. This is to prevent wasting IV fluids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caused by changes in electrolyte needs during replacement therapy.</w:t>
      </w:r>
    </w:p>
    <w:p w14:paraId="570E10C1" w14:textId="43818AB1" w:rsidR="000245C1" w:rsidRPr="000245C1" w:rsidRDefault="000245C1" w:rsidP="000245C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245C1">
        <w:rPr>
          <w:rFonts w:asciiTheme="majorBidi" w:hAnsiTheme="majorBidi" w:cstheme="majorBidi"/>
          <w:sz w:val="28"/>
          <w:szCs w:val="28"/>
        </w:rPr>
        <w:t>Because this patient requires approximately 3 L of fluid, only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1 L would be prepared initially, and this would likely consist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dextrose 5% and 0.2% NS (or greater). Approximately 15 mEq/L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of potassium would be added to the next liter of IV solution if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the patient had a reasonable urine output.</w:t>
      </w:r>
    </w:p>
    <w:p w14:paraId="0CA40870" w14:textId="0E800B21" w:rsidR="00561A63" w:rsidRPr="00F61100" w:rsidRDefault="000245C1" w:rsidP="000245C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0245C1">
        <w:rPr>
          <w:rFonts w:asciiTheme="majorBidi" w:hAnsiTheme="majorBidi" w:cstheme="majorBidi"/>
          <w:sz w:val="28"/>
          <w:szCs w:val="28"/>
        </w:rPr>
        <w:t>The infusion rate should be calculated to provide one-third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the daily maintenance fluid plus one-half of the deficit replacement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during the first 8 hours. The remainder of the maintenance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fluid (adjusted for fever) and deficit replacement should be administered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during the next 16 hours. Usually, serum electrolytes are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monitored every 6 to 8 hours during rehydration therapy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ensure that appropriate electrolytes are being provided. Usually,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the concentration of serum electrolytes is monitored frequently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during fluid replacement therapy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of deficits. In general, the serum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sodium concentration should not be increased by more than 10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to 12 mEq/L/day. After the initial fluid deficits are replaced,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infusion rate of the IV fluid would be decreased to 48 mL/hour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245C1">
        <w:rPr>
          <w:rFonts w:asciiTheme="majorBidi" w:hAnsiTheme="majorBidi" w:cstheme="majorBidi"/>
          <w:sz w:val="28"/>
          <w:szCs w:val="28"/>
        </w:rPr>
        <w:t>(1,152 mL or approximately maintenance fluid rate).</w:t>
      </w:r>
    </w:p>
    <w:sectPr w:rsidR="00561A63" w:rsidRPr="00F61100" w:rsidSect="00343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9CEF0" w14:textId="77777777" w:rsidR="001079B8" w:rsidRDefault="001079B8" w:rsidP="00445810">
      <w:pPr>
        <w:spacing w:after="0" w:line="240" w:lineRule="auto"/>
      </w:pPr>
      <w:r>
        <w:separator/>
      </w:r>
    </w:p>
  </w:endnote>
  <w:endnote w:type="continuationSeparator" w:id="0">
    <w:p w14:paraId="61CF5CAB" w14:textId="77777777" w:rsidR="001079B8" w:rsidRDefault="001079B8" w:rsidP="00445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CBB75" w14:textId="77777777" w:rsidR="001079B8" w:rsidRDefault="001079B8" w:rsidP="00445810">
      <w:pPr>
        <w:spacing w:after="0" w:line="240" w:lineRule="auto"/>
      </w:pPr>
      <w:r>
        <w:separator/>
      </w:r>
    </w:p>
  </w:footnote>
  <w:footnote w:type="continuationSeparator" w:id="0">
    <w:p w14:paraId="58D239F3" w14:textId="77777777" w:rsidR="001079B8" w:rsidRDefault="001079B8" w:rsidP="00445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3B0"/>
    <w:multiLevelType w:val="hybridMultilevel"/>
    <w:tmpl w:val="67C69B58"/>
    <w:lvl w:ilvl="0" w:tplc="2438BC48">
      <w:start w:val="199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7346"/>
    <w:multiLevelType w:val="hybridMultilevel"/>
    <w:tmpl w:val="2BF6D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7BA"/>
    <w:multiLevelType w:val="hybridMultilevel"/>
    <w:tmpl w:val="C4626080"/>
    <w:lvl w:ilvl="0" w:tplc="2438BC48">
      <w:start w:val="2005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24740"/>
    <w:multiLevelType w:val="hybridMultilevel"/>
    <w:tmpl w:val="4E743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859F5"/>
    <w:multiLevelType w:val="hybridMultilevel"/>
    <w:tmpl w:val="93440F7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563100"/>
    <w:multiLevelType w:val="hybridMultilevel"/>
    <w:tmpl w:val="04A4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7D7A"/>
    <w:multiLevelType w:val="hybridMultilevel"/>
    <w:tmpl w:val="F65EF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89558E"/>
    <w:multiLevelType w:val="hybridMultilevel"/>
    <w:tmpl w:val="06A8A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46BCE"/>
    <w:multiLevelType w:val="hybridMultilevel"/>
    <w:tmpl w:val="AD1A6900"/>
    <w:lvl w:ilvl="0" w:tplc="B5645C7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45A73"/>
    <w:multiLevelType w:val="hybridMultilevel"/>
    <w:tmpl w:val="59C65F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D23135"/>
    <w:multiLevelType w:val="hybridMultilevel"/>
    <w:tmpl w:val="0D7A4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396553"/>
    <w:multiLevelType w:val="hybridMultilevel"/>
    <w:tmpl w:val="CAAA85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C8175B"/>
    <w:multiLevelType w:val="hybridMultilevel"/>
    <w:tmpl w:val="8408A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245C1"/>
    <w:rsid w:val="000603D4"/>
    <w:rsid w:val="0008650A"/>
    <w:rsid w:val="000A5815"/>
    <w:rsid w:val="000B638E"/>
    <w:rsid w:val="000D50FD"/>
    <w:rsid w:val="000E666A"/>
    <w:rsid w:val="001045E6"/>
    <w:rsid w:val="001079B8"/>
    <w:rsid w:val="001473FF"/>
    <w:rsid w:val="0015520C"/>
    <w:rsid w:val="001C7385"/>
    <w:rsid w:val="00230BBE"/>
    <w:rsid w:val="002A156A"/>
    <w:rsid w:val="002B5772"/>
    <w:rsid w:val="002B7948"/>
    <w:rsid w:val="002C5DE9"/>
    <w:rsid w:val="003216E5"/>
    <w:rsid w:val="00343BBA"/>
    <w:rsid w:val="0036373D"/>
    <w:rsid w:val="00374603"/>
    <w:rsid w:val="003864C2"/>
    <w:rsid w:val="003A4640"/>
    <w:rsid w:val="003D4498"/>
    <w:rsid w:val="003E665B"/>
    <w:rsid w:val="00445810"/>
    <w:rsid w:val="00453282"/>
    <w:rsid w:val="004E34FD"/>
    <w:rsid w:val="00500E68"/>
    <w:rsid w:val="0050420C"/>
    <w:rsid w:val="00561A63"/>
    <w:rsid w:val="00574EA2"/>
    <w:rsid w:val="00577F01"/>
    <w:rsid w:val="00584785"/>
    <w:rsid w:val="005879D8"/>
    <w:rsid w:val="005B6B6A"/>
    <w:rsid w:val="00637B24"/>
    <w:rsid w:val="006B199E"/>
    <w:rsid w:val="006B2B1C"/>
    <w:rsid w:val="00732AA3"/>
    <w:rsid w:val="00747F59"/>
    <w:rsid w:val="007512FC"/>
    <w:rsid w:val="00756AA1"/>
    <w:rsid w:val="007B08CF"/>
    <w:rsid w:val="007B6089"/>
    <w:rsid w:val="007C4F87"/>
    <w:rsid w:val="007D0A32"/>
    <w:rsid w:val="007E2552"/>
    <w:rsid w:val="007F1D4F"/>
    <w:rsid w:val="00804D3C"/>
    <w:rsid w:val="0082265B"/>
    <w:rsid w:val="00863B11"/>
    <w:rsid w:val="00865C1B"/>
    <w:rsid w:val="00885084"/>
    <w:rsid w:val="008B3EBC"/>
    <w:rsid w:val="009345A9"/>
    <w:rsid w:val="00936957"/>
    <w:rsid w:val="009419A5"/>
    <w:rsid w:val="00950574"/>
    <w:rsid w:val="00952C3A"/>
    <w:rsid w:val="0098396E"/>
    <w:rsid w:val="0099508D"/>
    <w:rsid w:val="009D63F6"/>
    <w:rsid w:val="009E7DC2"/>
    <w:rsid w:val="00A16229"/>
    <w:rsid w:val="00A3422F"/>
    <w:rsid w:val="00A46ED6"/>
    <w:rsid w:val="00A51D5F"/>
    <w:rsid w:val="00A63100"/>
    <w:rsid w:val="00A762EB"/>
    <w:rsid w:val="00B72695"/>
    <w:rsid w:val="00B760E0"/>
    <w:rsid w:val="00B81F11"/>
    <w:rsid w:val="00BB1143"/>
    <w:rsid w:val="00BB12DE"/>
    <w:rsid w:val="00BF7E95"/>
    <w:rsid w:val="00C65DCA"/>
    <w:rsid w:val="00C8009C"/>
    <w:rsid w:val="00CE4A28"/>
    <w:rsid w:val="00CE68A0"/>
    <w:rsid w:val="00CF5804"/>
    <w:rsid w:val="00D17FC0"/>
    <w:rsid w:val="00D5505B"/>
    <w:rsid w:val="00D70E6C"/>
    <w:rsid w:val="00D72DC9"/>
    <w:rsid w:val="00E274E1"/>
    <w:rsid w:val="00EE7F15"/>
    <w:rsid w:val="00EF2165"/>
    <w:rsid w:val="00F141BC"/>
    <w:rsid w:val="00F32948"/>
    <w:rsid w:val="00F376B4"/>
    <w:rsid w:val="00F61100"/>
    <w:rsid w:val="00FB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C351B"/>
  <w15:docId w15:val="{01239C93-0A38-4133-B91D-3FA098E6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0E0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10"/>
  </w:style>
  <w:style w:type="paragraph" w:styleId="Footer">
    <w:name w:val="footer"/>
    <w:basedOn w:val="Normal"/>
    <w:link w:val="FooterChar"/>
    <w:uiPriority w:val="99"/>
    <w:unhideWhenUsed/>
    <w:rsid w:val="00445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10"/>
  </w:style>
  <w:style w:type="table" w:styleId="TableGrid">
    <w:name w:val="Table Grid"/>
    <w:basedOn w:val="TableNormal"/>
    <w:uiPriority w:val="59"/>
    <w:rsid w:val="00CE4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7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hp-aufoaq</dc:creator>
  <cp:lastModifiedBy>haider raheem</cp:lastModifiedBy>
  <cp:revision>40</cp:revision>
  <cp:lastPrinted>2015-02-14T12:07:00Z</cp:lastPrinted>
  <dcterms:created xsi:type="dcterms:W3CDTF">2015-02-10T17:23:00Z</dcterms:created>
  <dcterms:modified xsi:type="dcterms:W3CDTF">2022-12-16T16:16:00Z</dcterms:modified>
</cp:coreProperties>
</file>