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09CEB" w14:textId="14C661C1" w:rsidR="00A3422F" w:rsidRDefault="009345A9" w:rsidP="00A3422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Pharmacy Practice: Lecture 5</w:t>
      </w:r>
      <w:r w:rsidR="00B72695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>Dr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. Haider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>Raheem</w:t>
      </w:r>
    </w:p>
    <w:p w14:paraId="497F3077" w14:textId="77777777" w:rsidR="00B72695" w:rsidRPr="00A3422F" w:rsidRDefault="00B72695" w:rsidP="00B7269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0F0AF80" w14:textId="64F456C3" w:rsidR="009419A5" w:rsidRPr="00374603" w:rsidRDefault="0008650A" w:rsidP="0008650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08650A">
        <w:rPr>
          <w:rFonts w:asciiTheme="majorBidi" w:hAnsiTheme="majorBidi" w:cstheme="majorBidi"/>
          <w:b/>
          <w:bCs/>
          <w:color w:val="0070C0"/>
          <w:sz w:val="36"/>
          <w:szCs w:val="36"/>
        </w:rPr>
        <w:t>Treatment of</w:t>
      </w: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</w:t>
      </w:r>
      <w:r w:rsidRPr="0008650A">
        <w:rPr>
          <w:rFonts w:asciiTheme="majorBidi" w:hAnsiTheme="majorBidi" w:cstheme="majorBidi"/>
          <w:b/>
          <w:bCs/>
          <w:color w:val="0070C0"/>
          <w:sz w:val="36"/>
          <w:szCs w:val="36"/>
        </w:rPr>
        <w:t>Cancer Pain</w:t>
      </w:r>
    </w:p>
    <w:p w14:paraId="737E4847" w14:textId="77777777" w:rsidR="009419A5" w:rsidRDefault="009419A5" w:rsidP="009419A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7AFEA4D6" w14:textId="085E8953" w:rsidR="00B72695" w:rsidRDefault="002B5772" w:rsidP="002B577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2B5772">
        <w:rPr>
          <w:rFonts w:asciiTheme="majorBidi" w:hAnsiTheme="majorBidi" w:cstheme="majorBidi"/>
          <w:b/>
          <w:bCs/>
          <w:color w:val="0070C0"/>
          <w:sz w:val="32"/>
          <w:szCs w:val="32"/>
        </w:rPr>
        <w:t>Cancer Pain E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>tiology</w:t>
      </w:r>
    </w:p>
    <w:p w14:paraId="169161EC" w14:textId="2D10D441" w:rsidR="00B72695" w:rsidRDefault="0008650A" w:rsidP="002B577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650A">
        <w:rPr>
          <w:rFonts w:asciiTheme="majorBidi" w:hAnsiTheme="majorBidi" w:cstheme="majorBidi"/>
          <w:sz w:val="28"/>
          <w:szCs w:val="28"/>
        </w:rPr>
        <w:t>L.V. is a 58-year-old man who was diagnosed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with stage IV squamous cell carcinoma of the subglottis 2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months ago. The cancer is locally advanced with involvement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of multiple cervical lymph nodes. He had a modified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neck resection to remove the primary tumor and lymph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nodes while sparing the larynx. Chemoradiation therapy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began 3 weeks after surgery with cisplatin 100 mg/m</w:t>
      </w:r>
      <w:r w:rsidRPr="00B81F11">
        <w:rPr>
          <w:rFonts w:asciiTheme="majorBidi" w:hAnsiTheme="majorBidi" w:cstheme="majorBidi"/>
          <w:sz w:val="28"/>
          <w:szCs w:val="28"/>
          <w:vertAlign w:val="super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every 3 weeks (days 1, 22, and 43) and external beam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radiation delivering 70 Gy fractionated over the course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of 7 weeks. L.V. is now in his fourth week of radiation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therapy and continues to have significant neck and shoulder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pain described as “sudden shocklike sensations with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movement” and rated 6 of 10 despite a recent increase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in his long-acting oral morphine to 60 mg twice daily with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immediate-release morphine 10 mg PO every 4 hours PRN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for breakthrough pain. He also reports that his throat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getting so sore that he cannot bear to swallow and rates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the pain 10 of 10. L.V. appears quite fatigued and lethargic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during his appointment with the radiation oncologist.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The physical examination is remarkable for dry oral mucous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membranes, erythema and mild ulceration of the oropharynx,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and allodynia with light palpitation of the trapezius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and sternocleidomastoid with pain greater on the left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side.</w:t>
      </w:r>
      <w:r w:rsidRPr="0008650A">
        <w:rPr>
          <w:rFonts w:ascii="Avenir-Heavy" w:hAnsi="Avenir-Heavy" w:cs="Avenir-Heavy"/>
          <w:sz w:val="17"/>
          <w:szCs w:val="17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Based on the</w:t>
      </w:r>
      <w:r>
        <w:rPr>
          <w:rFonts w:ascii="Avenir-Heavy" w:hAnsi="Avenir-Heavy" w:cs="Avenir-Heavy"/>
          <w:sz w:val="17"/>
          <w:szCs w:val="17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laboratory tests</w:t>
      </w:r>
      <w:r>
        <w:rPr>
          <w:rFonts w:asciiTheme="majorBidi" w:hAnsiTheme="majorBidi" w:cstheme="majorBidi"/>
          <w:sz w:val="28"/>
          <w:szCs w:val="28"/>
        </w:rPr>
        <w:t xml:space="preserve"> t</w:t>
      </w:r>
      <w:r w:rsidRPr="0008650A">
        <w:rPr>
          <w:rFonts w:asciiTheme="majorBidi" w:hAnsiTheme="majorBidi" w:cstheme="majorBidi"/>
          <w:sz w:val="28"/>
          <w:szCs w:val="28"/>
        </w:rPr>
        <w:t>he radiation oncologist decides to admit L.V. to the hospital</w:t>
      </w:r>
      <w:r w:rsidR="002B5772"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for dehydration and pain management. What are the</w:t>
      </w:r>
      <w:r w:rsidR="002B5772">
        <w:rPr>
          <w:rFonts w:asciiTheme="majorBidi" w:hAnsiTheme="majorBidi" w:cstheme="majorBidi"/>
          <w:sz w:val="28"/>
          <w:szCs w:val="28"/>
        </w:rPr>
        <w:t xml:space="preserve"> </w:t>
      </w:r>
      <w:r w:rsidRPr="0008650A">
        <w:rPr>
          <w:rFonts w:asciiTheme="majorBidi" w:hAnsiTheme="majorBidi" w:cstheme="majorBidi"/>
          <w:sz w:val="28"/>
          <w:szCs w:val="28"/>
        </w:rPr>
        <w:t>possible etiologies of L.V.’s pain?</w:t>
      </w:r>
    </w:p>
    <w:p w14:paraId="79AB96A7" w14:textId="77777777" w:rsidR="00885084" w:rsidRDefault="00885084" w:rsidP="008850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55E149C" w14:textId="25E1F3EB" w:rsidR="002B5772" w:rsidRPr="002B5772" w:rsidRDefault="002B5772" w:rsidP="002B577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B5772">
        <w:rPr>
          <w:rFonts w:asciiTheme="majorBidi" w:hAnsiTheme="majorBidi" w:cstheme="majorBidi"/>
          <w:sz w:val="28"/>
          <w:szCs w:val="28"/>
        </w:rPr>
        <w:t>L.V. is presenting with a new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B5772">
        <w:rPr>
          <w:rFonts w:asciiTheme="majorBidi" w:hAnsiTheme="majorBidi" w:cstheme="majorBidi"/>
          <w:sz w:val="28"/>
          <w:szCs w:val="28"/>
        </w:rPr>
        <w:t>complaint of a severe sore throat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B5772">
        <w:rPr>
          <w:rFonts w:asciiTheme="majorBidi" w:hAnsiTheme="majorBidi" w:cstheme="majorBidi"/>
          <w:sz w:val="28"/>
          <w:szCs w:val="28"/>
        </w:rPr>
        <w:t>and persistent neck and shoulder pain. Laboratory data rule out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B5772">
        <w:rPr>
          <w:rFonts w:asciiTheme="majorBidi" w:hAnsiTheme="majorBidi" w:cstheme="majorBidi"/>
          <w:sz w:val="28"/>
          <w:szCs w:val="28"/>
        </w:rPr>
        <w:t>infection and myelosuppression. His kidney function may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B5772">
        <w:rPr>
          <w:rFonts w:asciiTheme="majorBidi" w:hAnsiTheme="majorBidi" w:cstheme="majorBidi"/>
          <w:sz w:val="28"/>
          <w:szCs w:val="28"/>
        </w:rPr>
        <w:t>impaired by dehydration and cisplatin therapy. The most likely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B5772">
        <w:rPr>
          <w:rFonts w:asciiTheme="majorBidi" w:hAnsiTheme="majorBidi" w:cstheme="majorBidi"/>
          <w:sz w:val="28"/>
          <w:szCs w:val="28"/>
        </w:rPr>
        <w:t>causes of L.V.’s pain are the recent surgical neck resection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B5772">
        <w:rPr>
          <w:rFonts w:asciiTheme="majorBidi" w:hAnsiTheme="majorBidi" w:cstheme="majorBidi"/>
          <w:sz w:val="28"/>
          <w:szCs w:val="28"/>
        </w:rPr>
        <w:t>mucositis from external beam radiation.</w:t>
      </w:r>
    </w:p>
    <w:p w14:paraId="1A177EB4" w14:textId="6BF4D980" w:rsidR="0008650A" w:rsidRDefault="002B5772" w:rsidP="002B577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B5772">
        <w:rPr>
          <w:rFonts w:asciiTheme="majorBidi" w:hAnsiTheme="majorBidi" w:cstheme="majorBidi"/>
          <w:sz w:val="28"/>
          <w:szCs w:val="28"/>
        </w:rPr>
        <w:t>L.V. also has postoperative peripheral neuropathy characterized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B5772">
        <w:rPr>
          <w:rFonts w:asciiTheme="majorBidi" w:hAnsiTheme="majorBidi" w:cstheme="majorBidi"/>
          <w:sz w:val="28"/>
          <w:szCs w:val="28"/>
        </w:rPr>
        <w:t>by shocklike sensation in the neck and shoulders after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B5772">
        <w:rPr>
          <w:rFonts w:asciiTheme="majorBidi" w:hAnsiTheme="majorBidi" w:cstheme="majorBidi"/>
          <w:sz w:val="28"/>
          <w:szCs w:val="28"/>
        </w:rPr>
        <w:t>the resection of the tumor.</w:t>
      </w:r>
    </w:p>
    <w:p w14:paraId="6592A538" w14:textId="77777777" w:rsidR="002B5772" w:rsidRDefault="002B5772" w:rsidP="002B577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364177B" w14:textId="6CCA0CD0" w:rsidR="00885084" w:rsidRDefault="00885084" w:rsidP="008850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>Transdermal Fentanyl Dose</w:t>
      </w:r>
      <w:r w:rsidRPr="002B5772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>Calculation</w:t>
      </w:r>
    </w:p>
    <w:p w14:paraId="1D2797EF" w14:textId="3D0ED1C8" w:rsidR="005879D8" w:rsidRDefault="00885084" w:rsidP="008B3E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85084">
        <w:rPr>
          <w:rFonts w:asciiTheme="majorBidi" w:hAnsiTheme="majorBidi" w:cstheme="majorBidi"/>
          <w:sz w:val="28"/>
          <w:szCs w:val="28"/>
        </w:rPr>
        <w:t>L.V. was started on IV hydromorphone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5084">
        <w:rPr>
          <w:rFonts w:asciiTheme="majorBidi" w:hAnsiTheme="majorBidi" w:cstheme="majorBidi"/>
          <w:sz w:val="28"/>
          <w:szCs w:val="28"/>
        </w:rPr>
        <w:t>using patient-controlled analgesia (PCA) with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5084">
        <w:rPr>
          <w:rFonts w:asciiTheme="majorBidi" w:hAnsiTheme="majorBidi" w:cstheme="majorBidi"/>
          <w:sz w:val="28"/>
          <w:szCs w:val="28"/>
        </w:rPr>
        <w:t>average usage of 14 mg/day. He now rates his pain as 4 of</w:t>
      </w:r>
      <w:r w:rsidR="00637B24">
        <w:rPr>
          <w:rFonts w:asciiTheme="majorBidi" w:hAnsiTheme="majorBidi" w:cstheme="majorBidi"/>
          <w:sz w:val="28"/>
          <w:szCs w:val="28"/>
        </w:rPr>
        <w:t xml:space="preserve"> </w:t>
      </w:r>
      <w:r w:rsidRPr="00885084">
        <w:rPr>
          <w:rFonts w:asciiTheme="majorBidi" w:hAnsiTheme="majorBidi" w:cstheme="majorBidi"/>
          <w:sz w:val="28"/>
          <w:szCs w:val="28"/>
        </w:rPr>
        <w:t>10. Owing to difficulty swallowing secondary to the mucositis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5084">
        <w:rPr>
          <w:rFonts w:asciiTheme="majorBidi" w:hAnsiTheme="majorBidi" w:cstheme="majorBidi"/>
          <w:sz w:val="28"/>
          <w:szCs w:val="28"/>
        </w:rPr>
        <w:t>and xerostomia, he had a gastric feeding tube placed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5084">
        <w:rPr>
          <w:rFonts w:asciiTheme="majorBidi" w:hAnsiTheme="majorBidi" w:cstheme="majorBidi"/>
          <w:sz w:val="28"/>
          <w:szCs w:val="28"/>
        </w:rPr>
        <w:t xml:space="preserve">for nutrition. The plan is </w:t>
      </w:r>
      <w:r w:rsidRPr="00885084">
        <w:rPr>
          <w:rFonts w:asciiTheme="majorBidi" w:hAnsiTheme="majorBidi" w:cstheme="majorBidi"/>
          <w:sz w:val="28"/>
          <w:szCs w:val="28"/>
        </w:rPr>
        <w:lastRenderedPageBreak/>
        <w:t>to convert the IV hydromorphone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5084">
        <w:rPr>
          <w:rFonts w:asciiTheme="majorBidi" w:hAnsiTheme="majorBidi" w:cstheme="majorBidi"/>
          <w:sz w:val="28"/>
          <w:szCs w:val="28"/>
        </w:rPr>
        <w:t>to a transdermal fentanyl patch. What transdermal fentanyl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5084">
        <w:rPr>
          <w:rFonts w:asciiTheme="majorBidi" w:hAnsiTheme="majorBidi" w:cstheme="majorBidi"/>
          <w:sz w:val="28"/>
          <w:szCs w:val="28"/>
        </w:rPr>
        <w:t>patch dose should L.V. be started on?</w:t>
      </w:r>
      <w:r w:rsidR="00B72695" w:rsidRPr="00B72695">
        <w:rPr>
          <w:rFonts w:asciiTheme="majorBidi" w:hAnsiTheme="majorBidi" w:cstheme="majorBidi"/>
          <w:sz w:val="28"/>
          <w:szCs w:val="28"/>
        </w:rPr>
        <w:t xml:space="preserve"> </w:t>
      </w:r>
    </w:p>
    <w:p w14:paraId="13037261" w14:textId="77777777" w:rsidR="00885084" w:rsidRDefault="00885084" w:rsidP="008850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971588A" w14:textId="7B3BAAE2" w:rsidR="00885084" w:rsidRDefault="00885084" w:rsidP="008850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85084">
        <w:rPr>
          <w:rFonts w:asciiTheme="majorBidi" w:hAnsiTheme="majorBidi" w:cstheme="majorBidi"/>
          <w:sz w:val="28"/>
          <w:szCs w:val="28"/>
        </w:rPr>
        <w:t>For more than two decades,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5084">
        <w:rPr>
          <w:rFonts w:asciiTheme="majorBidi" w:hAnsiTheme="majorBidi" w:cstheme="majorBidi"/>
          <w:sz w:val="28"/>
          <w:szCs w:val="28"/>
        </w:rPr>
        <w:t>World Health Organization’s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5084">
        <w:rPr>
          <w:rFonts w:asciiTheme="majorBidi" w:hAnsiTheme="majorBidi" w:cstheme="majorBidi"/>
          <w:sz w:val="28"/>
          <w:szCs w:val="28"/>
        </w:rPr>
        <w:t>(WHO) analgesic ladder has been used to guide cancer pain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5084">
        <w:rPr>
          <w:rFonts w:asciiTheme="majorBidi" w:hAnsiTheme="majorBidi" w:cstheme="majorBidi"/>
          <w:sz w:val="28"/>
          <w:szCs w:val="28"/>
        </w:rPr>
        <w:t>management. The ladder progresses in a stepwise manner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5084">
        <w:rPr>
          <w:rFonts w:asciiTheme="majorBidi" w:hAnsiTheme="majorBidi" w:cstheme="majorBidi"/>
          <w:sz w:val="28"/>
          <w:szCs w:val="28"/>
        </w:rPr>
        <w:t>starting with acetaminophen,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5084">
        <w:rPr>
          <w:rFonts w:asciiTheme="majorBidi" w:hAnsiTheme="majorBidi" w:cstheme="majorBidi"/>
          <w:sz w:val="28"/>
          <w:szCs w:val="28"/>
        </w:rPr>
        <w:t>NSAIDs,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5084">
        <w:rPr>
          <w:rFonts w:asciiTheme="majorBidi" w:hAnsiTheme="majorBidi" w:cstheme="majorBidi"/>
          <w:sz w:val="28"/>
          <w:szCs w:val="28"/>
        </w:rPr>
        <w:t>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5084">
        <w:rPr>
          <w:rFonts w:asciiTheme="majorBidi" w:hAnsiTheme="majorBidi" w:cstheme="majorBidi"/>
          <w:sz w:val="28"/>
          <w:szCs w:val="28"/>
        </w:rPr>
        <w:t>adjuvant medications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5084">
        <w:rPr>
          <w:rFonts w:asciiTheme="majorBidi" w:hAnsiTheme="majorBidi" w:cstheme="majorBidi"/>
          <w:sz w:val="28"/>
          <w:szCs w:val="28"/>
        </w:rPr>
        <w:t>(e.g., coanalgesics such as anticonvulsants and antidepressants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5084">
        <w:rPr>
          <w:rFonts w:asciiTheme="majorBidi" w:hAnsiTheme="majorBidi" w:cstheme="majorBidi"/>
          <w:sz w:val="28"/>
          <w:szCs w:val="28"/>
        </w:rPr>
        <w:t>for neuropathic pain) as initial therapy. If the pain intensity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5084">
        <w:rPr>
          <w:rFonts w:asciiTheme="majorBidi" w:hAnsiTheme="majorBidi" w:cstheme="majorBidi"/>
          <w:sz w:val="28"/>
          <w:szCs w:val="28"/>
        </w:rPr>
        <w:t>greater than 4 of 10 but not severe, weak opioid analgesics may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5084">
        <w:rPr>
          <w:rFonts w:asciiTheme="majorBidi" w:hAnsiTheme="majorBidi" w:cstheme="majorBidi"/>
          <w:sz w:val="28"/>
          <w:szCs w:val="28"/>
        </w:rPr>
        <w:t>be added to the pain regimen. For severe pain, strong opioids such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5084">
        <w:rPr>
          <w:rFonts w:asciiTheme="majorBidi" w:hAnsiTheme="majorBidi" w:cstheme="majorBidi"/>
          <w:sz w:val="28"/>
          <w:szCs w:val="28"/>
        </w:rPr>
        <w:t>as morphine, hydromorphone, fentanyl, and oxycodone are recommended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5084">
        <w:rPr>
          <w:rFonts w:asciiTheme="majorBidi" w:hAnsiTheme="majorBidi" w:cstheme="majorBidi"/>
          <w:sz w:val="28"/>
          <w:szCs w:val="28"/>
        </w:rPr>
        <w:t>in step 3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5084">
        <w:rPr>
          <w:rFonts w:asciiTheme="majorBidi" w:hAnsiTheme="majorBidi" w:cstheme="majorBidi"/>
          <w:sz w:val="28"/>
          <w:szCs w:val="28"/>
        </w:rPr>
        <w:t>WHO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5084">
        <w:rPr>
          <w:rFonts w:asciiTheme="majorBidi" w:hAnsiTheme="majorBidi" w:cstheme="majorBidi"/>
          <w:sz w:val="28"/>
          <w:szCs w:val="28"/>
        </w:rPr>
        <w:t>analgesic ladder.</w:t>
      </w:r>
    </w:p>
    <w:p w14:paraId="6F7F4AF1" w14:textId="0A64907D" w:rsidR="00B72695" w:rsidRDefault="00CE4A28" w:rsidP="00CE4A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E4A28">
        <w:rPr>
          <w:rFonts w:asciiTheme="majorBidi" w:hAnsiTheme="majorBidi" w:cstheme="majorBidi"/>
          <w:sz w:val="28"/>
          <w:szCs w:val="28"/>
        </w:rPr>
        <w:t>Transdermal fentanyl patches are intended for opioid-tolerant</w:t>
      </w:r>
      <w:r>
        <w:rPr>
          <w:rFonts w:asciiTheme="majorBidi" w:hAnsiTheme="majorBidi" w:cstheme="majorBidi"/>
          <w:sz w:val="28"/>
          <w:szCs w:val="28"/>
        </w:rPr>
        <w:t xml:space="preserve"> patients </w:t>
      </w:r>
      <w:r w:rsidRPr="00CE4A28">
        <w:rPr>
          <w:rFonts w:asciiTheme="majorBidi" w:hAnsiTheme="majorBidi" w:cstheme="majorBidi"/>
          <w:sz w:val="28"/>
          <w:szCs w:val="28"/>
        </w:rPr>
        <w:t>with stable chronic pain. Opioid-tolerant patients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E4A28">
        <w:rPr>
          <w:rFonts w:asciiTheme="majorBidi" w:hAnsiTheme="majorBidi" w:cstheme="majorBidi"/>
          <w:sz w:val="28"/>
          <w:szCs w:val="28"/>
        </w:rPr>
        <w:t>those who have been taking daily, for a week or longer, at least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E4A28">
        <w:rPr>
          <w:rFonts w:asciiTheme="majorBidi" w:hAnsiTheme="majorBidi" w:cstheme="majorBidi"/>
          <w:sz w:val="28"/>
          <w:szCs w:val="28"/>
        </w:rPr>
        <w:t>60 mg of oral morphine, 30 mg of oral oxycodone, or at least 8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E4A28">
        <w:rPr>
          <w:rFonts w:asciiTheme="majorBidi" w:hAnsiTheme="majorBidi" w:cstheme="majorBidi"/>
          <w:sz w:val="28"/>
          <w:szCs w:val="28"/>
        </w:rPr>
        <w:t>mg of oral hydromorphone or an equianalgesic dose of another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E4A28">
        <w:rPr>
          <w:rFonts w:asciiTheme="majorBidi" w:hAnsiTheme="majorBidi" w:cstheme="majorBidi"/>
          <w:sz w:val="28"/>
          <w:szCs w:val="28"/>
        </w:rPr>
        <w:t>opioid.</w:t>
      </w:r>
    </w:p>
    <w:p w14:paraId="4F07C900" w14:textId="72CBE3AA" w:rsidR="00CE4A28" w:rsidRDefault="00CE4A28" w:rsidP="00CE4A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E4A28">
        <w:rPr>
          <w:rFonts w:asciiTheme="majorBidi" w:hAnsiTheme="majorBidi" w:cstheme="majorBidi"/>
          <w:sz w:val="28"/>
          <w:szCs w:val="28"/>
        </w:rPr>
        <w:t>Doses of two different opioids (or two different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E4A28">
        <w:rPr>
          <w:rFonts w:asciiTheme="majorBidi" w:hAnsiTheme="majorBidi" w:cstheme="majorBidi"/>
          <w:sz w:val="28"/>
          <w:szCs w:val="28"/>
        </w:rPr>
        <w:t>routes of administration of the same opioid) are considered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E4A28">
        <w:rPr>
          <w:rFonts w:asciiTheme="majorBidi" w:hAnsiTheme="majorBidi" w:cstheme="majorBidi"/>
          <w:sz w:val="28"/>
          <w:szCs w:val="28"/>
        </w:rPr>
        <w:t>to be equianalgesic if they provide the same degree of pain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E4A28">
        <w:rPr>
          <w:rFonts w:asciiTheme="majorBidi" w:hAnsiTheme="majorBidi" w:cstheme="majorBidi"/>
          <w:sz w:val="28"/>
          <w:szCs w:val="28"/>
        </w:rPr>
        <w:t xml:space="preserve">relief. Table </w:t>
      </w:r>
      <w:r>
        <w:rPr>
          <w:rFonts w:asciiTheme="majorBidi" w:hAnsiTheme="majorBidi" w:cstheme="majorBidi"/>
          <w:sz w:val="28"/>
          <w:szCs w:val="28"/>
        </w:rPr>
        <w:t>5</w:t>
      </w:r>
      <w:r w:rsidRPr="00CE4A28">
        <w:rPr>
          <w:rFonts w:asciiTheme="majorBidi" w:hAnsiTheme="majorBidi" w:cstheme="majorBidi"/>
          <w:sz w:val="28"/>
          <w:szCs w:val="28"/>
        </w:rPr>
        <w:t>-1 gives equianalgesic opioid doses.</w:t>
      </w:r>
    </w:p>
    <w:p w14:paraId="12E9EF77" w14:textId="77777777" w:rsidR="00637B24" w:rsidRDefault="00637B24" w:rsidP="00637B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A26DDEF" w14:textId="26BC136B" w:rsidR="00CE4A28" w:rsidRDefault="00CE4A28" w:rsidP="00CE4A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E4A28">
        <w:rPr>
          <w:rFonts w:asciiTheme="majorBidi" w:hAnsiTheme="majorBidi" w:cstheme="majorBidi"/>
          <w:b/>
          <w:bCs/>
          <w:sz w:val="28"/>
          <w:szCs w:val="28"/>
        </w:rPr>
        <w:t>Table 5-1: Equianalgesic opioid doses.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E4A28" w14:paraId="1AB69DB0" w14:textId="77777777" w:rsidTr="00CE4A28">
        <w:tc>
          <w:tcPr>
            <w:tcW w:w="2840" w:type="dxa"/>
            <w:vMerge w:val="restart"/>
            <w:vAlign w:val="center"/>
          </w:tcPr>
          <w:p w14:paraId="39907295" w14:textId="5D836CAC" w:rsidR="00CE4A28" w:rsidRDefault="00CE4A28" w:rsidP="00CE4A2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Opioid</w:t>
            </w:r>
          </w:p>
        </w:tc>
        <w:tc>
          <w:tcPr>
            <w:tcW w:w="5682" w:type="dxa"/>
            <w:gridSpan w:val="2"/>
          </w:tcPr>
          <w:p w14:paraId="124C787A" w14:textId="0A00406C" w:rsidR="00CE4A28" w:rsidRDefault="00CE4A28" w:rsidP="00CE4A2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CE4A28">
              <w:rPr>
                <w:rFonts w:asciiTheme="majorBidi" w:hAnsiTheme="majorBidi" w:cstheme="majorBidi"/>
                <w:sz w:val="28"/>
                <w:szCs w:val="28"/>
              </w:rPr>
              <w:t xml:space="preserve">quianalgesic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Dose (mg)</w:t>
            </w:r>
          </w:p>
        </w:tc>
      </w:tr>
      <w:tr w:rsidR="00CE4A28" w14:paraId="4F4BF8D2" w14:textId="77777777" w:rsidTr="00CE4A28">
        <w:tc>
          <w:tcPr>
            <w:tcW w:w="2840" w:type="dxa"/>
            <w:vMerge/>
          </w:tcPr>
          <w:p w14:paraId="6ACC39B5" w14:textId="77777777" w:rsidR="00CE4A28" w:rsidRDefault="00CE4A28" w:rsidP="00CE4A2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1" w:type="dxa"/>
          </w:tcPr>
          <w:p w14:paraId="37CECD9D" w14:textId="65F99E05" w:rsidR="00CE4A28" w:rsidRDefault="00CE4A28" w:rsidP="003E665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Oral</w:t>
            </w:r>
          </w:p>
        </w:tc>
        <w:tc>
          <w:tcPr>
            <w:tcW w:w="2841" w:type="dxa"/>
          </w:tcPr>
          <w:p w14:paraId="13B2D96D" w14:textId="1C75A24D" w:rsidR="00CE4A28" w:rsidRDefault="00CE4A28" w:rsidP="003E665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Parenteral</w:t>
            </w:r>
          </w:p>
        </w:tc>
      </w:tr>
      <w:tr w:rsidR="00CE4A28" w14:paraId="35CA9804" w14:textId="77777777" w:rsidTr="00CE4A28">
        <w:tc>
          <w:tcPr>
            <w:tcW w:w="2840" w:type="dxa"/>
          </w:tcPr>
          <w:p w14:paraId="30958268" w14:textId="69206927" w:rsidR="00CE4A28" w:rsidRDefault="00CE4A28" w:rsidP="00CE4A2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Morphine</w:t>
            </w:r>
          </w:p>
        </w:tc>
        <w:tc>
          <w:tcPr>
            <w:tcW w:w="2841" w:type="dxa"/>
          </w:tcPr>
          <w:p w14:paraId="72B89BC1" w14:textId="566D77C2" w:rsidR="00CE4A28" w:rsidRDefault="003E665B" w:rsidP="00CE4A2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2841" w:type="dxa"/>
          </w:tcPr>
          <w:p w14:paraId="2F3C425C" w14:textId="27D2E3FB" w:rsidR="00CE4A28" w:rsidRDefault="003E665B" w:rsidP="00CE4A2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CE4A28" w14:paraId="51E9C391" w14:textId="77777777" w:rsidTr="00CE4A28">
        <w:tc>
          <w:tcPr>
            <w:tcW w:w="2840" w:type="dxa"/>
          </w:tcPr>
          <w:p w14:paraId="3836AE11" w14:textId="306B9EC9" w:rsidR="00CE4A28" w:rsidRDefault="00CE4A28" w:rsidP="00CE4A2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E4A28">
              <w:rPr>
                <w:rFonts w:asciiTheme="majorBidi" w:hAnsiTheme="majorBidi" w:cstheme="majorBidi"/>
                <w:sz w:val="28"/>
                <w:szCs w:val="28"/>
              </w:rPr>
              <w:t>Hydromorphone</w:t>
            </w:r>
          </w:p>
        </w:tc>
        <w:tc>
          <w:tcPr>
            <w:tcW w:w="2841" w:type="dxa"/>
          </w:tcPr>
          <w:p w14:paraId="24C08923" w14:textId="7E818ABF" w:rsidR="00CE4A28" w:rsidRDefault="003E665B" w:rsidP="00CE4A2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7.5</w:t>
            </w:r>
          </w:p>
        </w:tc>
        <w:tc>
          <w:tcPr>
            <w:tcW w:w="2841" w:type="dxa"/>
          </w:tcPr>
          <w:p w14:paraId="0959B7B8" w14:textId="47951778" w:rsidR="00CE4A28" w:rsidRDefault="003E665B" w:rsidP="00CE4A2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1.5</w:t>
            </w:r>
          </w:p>
        </w:tc>
      </w:tr>
      <w:tr w:rsidR="00CE4A28" w14:paraId="570C5DDD" w14:textId="77777777" w:rsidTr="00CE4A28">
        <w:tc>
          <w:tcPr>
            <w:tcW w:w="2840" w:type="dxa"/>
          </w:tcPr>
          <w:p w14:paraId="10007496" w14:textId="140F006B" w:rsidR="00CE4A28" w:rsidRDefault="00CE4A28" w:rsidP="00CE4A2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E4A28">
              <w:rPr>
                <w:rFonts w:asciiTheme="majorBidi" w:hAnsiTheme="majorBidi" w:cstheme="majorBidi"/>
                <w:sz w:val="28"/>
                <w:szCs w:val="28"/>
              </w:rPr>
              <w:t>Fentanyl</w:t>
            </w:r>
          </w:p>
        </w:tc>
        <w:tc>
          <w:tcPr>
            <w:tcW w:w="2841" w:type="dxa"/>
          </w:tcPr>
          <w:p w14:paraId="7C8548F9" w14:textId="3DB23B13" w:rsidR="00CE4A28" w:rsidRDefault="003E665B" w:rsidP="00CE4A2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841" w:type="dxa"/>
          </w:tcPr>
          <w:p w14:paraId="204D7849" w14:textId="345062A3" w:rsidR="00CE4A28" w:rsidRDefault="003E665B" w:rsidP="00CE4A2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0.1</w:t>
            </w:r>
          </w:p>
        </w:tc>
      </w:tr>
      <w:tr w:rsidR="00CE4A28" w14:paraId="38D125AB" w14:textId="77777777" w:rsidTr="00CE4A28">
        <w:tc>
          <w:tcPr>
            <w:tcW w:w="2840" w:type="dxa"/>
          </w:tcPr>
          <w:p w14:paraId="1079BCDB" w14:textId="1787764A" w:rsidR="00CE4A28" w:rsidRDefault="00CE4A28" w:rsidP="00CE4A2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E4A28">
              <w:rPr>
                <w:rFonts w:asciiTheme="majorBidi" w:hAnsiTheme="majorBidi" w:cstheme="majorBidi"/>
                <w:sz w:val="28"/>
                <w:szCs w:val="28"/>
              </w:rPr>
              <w:t>Oxycodone</w:t>
            </w:r>
          </w:p>
        </w:tc>
        <w:tc>
          <w:tcPr>
            <w:tcW w:w="2841" w:type="dxa"/>
          </w:tcPr>
          <w:p w14:paraId="294EE1AC" w14:textId="0855D660" w:rsidR="00CE4A28" w:rsidRDefault="003E665B" w:rsidP="00CE4A2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2841" w:type="dxa"/>
          </w:tcPr>
          <w:p w14:paraId="52343B3B" w14:textId="600DD938" w:rsidR="00CE4A28" w:rsidRDefault="003E665B" w:rsidP="00CE4A2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CE4A28" w14:paraId="4008646A" w14:textId="77777777" w:rsidTr="003E665B">
        <w:tc>
          <w:tcPr>
            <w:tcW w:w="2840" w:type="dxa"/>
            <w:vAlign w:val="center"/>
          </w:tcPr>
          <w:p w14:paraId="4A9EE5CA" w14:textId="1E069183" w:rsidR="00CE4A28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665B">
              <w:rPr>
                <w:rFonts w:asciiTheme="majorBidi" w:hAnsiTheme="majorBidi" w:cstheme="majorBidi"/>
                <w:sz w:val="28"/>
                <w:szCs w:val="28"/>
              </w:rPr>
              <w:t>Levorphanol</w:t>
            </w:r>
          </w:p>
        </w:tc>
        <w:tc>
          <w:tcPr>
            <w:tcW w:w="2841" w:type="dxa"/>
          </w:tcPr>
          <w:p w14:paraId="59E02805" w14:textId="77777777" w:rsidR="00CE4A28" w:rsidRDefault="003E665B" w:rsidP="00CE4A2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 acute</w:t>
            </w:r>
          </w:p>
          <w:p w14:paraId="4CE259F6" w14:textId="16BCAA09" w:rsid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 chronic</w:t>
            </w:r>
          </w:p>
        </w:tc>
        <w:tc>
          <w:tcPr>
            <w:tcW w:w="2841" w:type="dxa"/>
          </w:tcPr>
          <w:p w14:paraId="22A21B92" w14:textId="6DB94E5A" w:rsidR="00CE4A28" w:rsidRDefault="003E665B" w:rsidP="00CE4A2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 chronic</w:t>
            </w:r>
          </w:p>
        </w:tc>
      </w:tr>
      <w:tr w:rsidR="00CE4A28" w14:paraId="2941C1E5" w14:textId="77777777" w:rsidTr="00CE4A28">
        <w:tc>
          <w:tcPr>
            <w:tcW w:w="2840" w:type="dxa"/>
          </w:tcPr>
          <w:p w14:paraId="1D010F13" w14:textId="72A0AC47" w:rsidR="00CE4A28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665B">
              <w:rPr>
                <w:rFonts w:asciiTheme="majorBidi" w:hAnsiTheme="majorBidi" w:cstheme="majorBidi"/>
                <w:sz w:val="28"/>
                <w:szCs w:val="28"/>
              </w:rPr>
              <w:t>Buprenorphine</w:t>
            </w:r>
          </w:p>
        </w:tc>
        <w:tc>
          <w:tcPr>
            <w:tcW w:w="2841" w:type="dxa"/>
          </w:tcPr>
          <w:p w14:paraId="4CAC1A34" w14:textId="1610D558" w:rsidR="00CE4A28" w:rsidRDefault="003E665B" w:rsidP="00CE4A2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0.3</w:t>
            </w:r>
          </w:p>
        </w:tc>
        <w:tc>
          <w:tcPr>
            <w:tcW w:w="2841" w:type="dxa"/>
          </w:tcPr>
          <w:p w14:paraId="01760F9E" w14:textId="6949B9D3" w:rsidR="00CE4A28" w:rsidRDefault="003E665B" w:rsidP="00CE4A2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0.4 (sublingual)</w:t>
            </w:r>
          </w:p>
        </w:tc>
      </w:tr>
      <w:tr w:rsidR="003E665B" w14:paraId="084BB2C7" w14:textId="77777777" w:rsidTr="00CE4A28">
        <w:tc>
          <w:tcPr>
            <w:tcW w:w="2840" w:type="dxa"/>
          </w:tcPr>
          <w:p w14:paraId="4FEC961C" w14:textId="7090C698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665B">
              <w:rPr>
                <w:rFonts w:asciiTheme="majorBidi" w:hAnsiTheme="majorBidi" w:cstheme="majorBidi"/>
                <w:sz w:val="28"/>
                <w:szCs w:val="28"/>
              </w:rPr>
              <w:t>Meperidine</w:t>
            </w:r>
          </w:p>
        </w:tc>
        <w:tc>
          <w:tcPr>
            <w:tcW w:w="2841" w:type="dxa"/>
          </w:tcPr>
          <w:p w14:paraId="4247A0F0" w14:textId="36782128" w:rsidR="003E665B" w:rsidRDefault="00A16229" w:rsidP="00CE4A2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3E665B">
              <w:rPr>
                <w:rFonts w:asciiTheme="majorBidi" w:hAnsiTheme="majorBidi" w:cstheme="majorBidi"/>
                <w:sz w:val="28"/>
                <w:szCs w:val="28"/>
              </w:rPr>
              <w:t>00</w:t>
            </w:r>
          </w:p>
        </w:tc>
        <w:tc>
          <w:tcPr>
            <w:tcW w:w="2841" w:type="dxa"/>
          </w:tcPr>
          <w:p w14:paraId="50F5FF30" w14:textId="0761B2BA" w:rsidR="003E665B" w:rsidRDefault="00A16229" w:rsidP="00CE4A2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3E665B">
              <w:rPr>
                <w:rFonts w:asciiTheme="majorBidi" w:hAnsiTheme="majorBidi" w:cstheme="majorBidi"/>
                <w:sz w:val="28"/>
                <w:szCs w:val="28"/>
              </w:rPr>
              <w:t>00</w:t>
            </w:r>
          </w:p>
        </w:tc>
      </w:tr>
    </w:tbl>
    <w:p w14:paraId="5E74F614" w14:textId="77777777" w:rsidR="00637B24" w:rsidRDefault="00637B24" w:rsidP="00A631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A019224" w14:textId="4C67D33F" w:rsidR="003E665B" w:rsidRDefault="00A63100" w:rsidP="00637B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63100">
        <w:rPr>
          <w:rFonts w:asciiTheme="majorBidi" w:hAnsiTheme="majorBidi" w:cstheme="majorBidi"/>
          <w:sz w:val="28"/>
          <w:szCs w:val="28"/>
        </w:rPr>
        <w:t>There are several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63100">
        <w:rPr>
          <w:rFonts w:asciiTheme="majorBidi" w:hAnsiTheme="majorBidi" w:cstheme="majorBidi"/>
          <w:sz w:val="28"/>
          <w:szCs w:val="28"/>
        </w:rPr>
        <w:t>published tables for converting morphine to transdermal fentanyl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Pr="00A63100">
        <w:rPr>
          <w:rFonts w:asciiTheme="majorBidi" w:hAnsiTheme="majorBidi" w:cstheme="majorBidi"/>
          <w:sz w:val="28"/>
          <w:szCs w:val="28"/>
        </w:rPr>
        <w:t>Duragesic</w:t>
      </w:r>
      <w:r w:rsidRPr="00A63100">
        <w:rPr>
          <w:rFonts w:asciiTheme="majorBidi" w:hAnsiTheme="majorBidi" w:cstheme="majorBidi"/>
          <w:sz w:val="28"/>
          <w:szCs w:val="28"/>
          <w:vertAlign w:val="superscript"/>
        </w:rPr>
        <w:t>®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 w:rsidRPr="00A63100">
        <w:rPr>
          <w:rFonts w:asciiTheme="majorBidi" w:hAnsiTheme="majorBidi" w:cstheme="majorBidi"/>
          <w:sz w:val="28"/>
          <w:szCs w:val="28"/>
        </w:rPr>
        <w:t>by researchers and manufacturers of transdermal fentanyl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63100">
        <w:rPr>
          <w:rFonts w:asciiTheme="majorBidi" w:hAnsiTheme="majorBidi" w:cstheme="majorBidi"/>
          <w:sz w:val="28"/>
          <w:szCs w:val="28"/>
        </w:rPr>
        <w:t>products. They provide slightly different dose conversion recommendations.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63100">
        <w:rPr>
          <w:rFonts w:asciiTheme="majorBidi" w:hAnsiTheme="majorBidi" w:cstheme="majorBidi"/>
          <w:sz w:val="28"/>
          <w:szCs w:val="28"/>
        </w:rPr>
        <w:t>Duragesic</w:t>
      </w:r>
      <w:r w:rsidRPr="00A63100">
        <w:rPr>
          <w:rFonts w:asciiTheme="majorBidi" w:hAnsiTheme="majorBidi" w:cstheme="majorBidi"/>
          <w:sz w:val="28"/>
          <w:szCs w:val="28"/>
          <w:vertAlign w:val="superscript"/>
        </w:rPr>
        <w:t>®</w:t>
      </w:r>
      <w:r w:rsidRPr="00A63100">
        <w:rPr>
          <w:rFonts w:asciiTheme="majorBidi" w:hAnsiTheme="majorBidi" w:cstheme="majorBidi"/>
          <w:sz w:val="28"/>
          <w:szCs w:val="28"/>
        </w:rPr>
        <w:t xml:space="preserve"> has wide morphine dose ranges, which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63100">
        <w:rPr>
          <w:rFonts w:asciiTheme="majorBidi" w:hAnsiTheme="majorBidi" w:cstheme="majorBidi"/>
          <w:sz w:val="28"/>
          <w:szCs w:val="28"/>
        </w:rPr>
        <w:t>may result in underdosing the transdermal fentanyl patch in cancer</w:t>
      </w:r>
      <w:r>
        <w:rPr>
          <w:rFonts w:asciiTheme="majorBidi" w:hAnsiTheme="majorBidi" w:cstheme="majorBidi"/>
          <w:sz w:val="28"/>
          <w:szCs w:val="28"/>
        </w:rPr>
        <w:t xml:space="preserve"> patients (Table 5-</w:t>
      </w:r>
      <w:r w:rsidRPr="00A63100">
        <w:rPr>
          <w:rFonts w:asciiTheme="majorBidi" w:hAnsiTheme="majorBidi" w:cstheme="majorBidi"/>
          <w:sz w:val="28"/>
          <w:szCs w:val="28"/>
        </w:rPr>
        <w:t>2)</w:t>
      </w:r>
      <w:r w:rsidR="003E665B" w:rsidRPr="003E665B">
        <w:rPr>
          <w:rFonts w:asciiTheme="majorBidi" w:hAnsiTheme="majorBidi" w:cstheme="majorBidi"/>
          <w:sz w:val="28"/>
          <w:szCs w:val="28"/>
        </w:rPr>
        <w:t>.</w:t>
      </w:r>
    </w:p>
    <w:p w14:paraId="4620020F" w14:textId="54FBE20C" w:rsidR="00637B24" w:rsidRDefault="00637B24" w:rsidP="00637B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E1BD613" w14:textId="6CF0906F" w:rsidR="00637B24" w:rsidRDefault="00637B24" w:rsidP="00637B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3E1E3FD" w14:textId="6BF44FE0" w:rsidR="00637B24" w:rsidRDefault="00637B24" w:rsidP="00637B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6A944F4" w14:textId="77777777" w:rsidR="00637B24" w:rsidRPr="003E665B" w:rsidRDefault="00637B24" w:rsidP="00637B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9501D75" w14:textId="1E60C145" w:rsidR="003E665B" w:rsidRPr="003E665B" w:rsidRDefault="003E665B" w:rsidP="003E66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E665B">
        <w:rPr>
          <w:rFonts w:asciiTheme="majorBidi" w:hAnsiTheme="majorBidi" w:cstheme="majorBidi"/>
          <w:b/>
          <w:bCs/>
          <w:sz w:val="28"/>
          <w:szCs w:val="28"/>
        </w:rPr>
        <w:lastRenderedPageBreak/>
        <w:t>Table 5-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2A156A">
        <w:rPr>
          <w:rFonts w:asciiTheme="majorBidi" w:hAnsiTheme="majorBidi" w:cstheme="majorBidi"/>
          <w:b/>
          <w:bCs/>
          <w:sz w:val="28"/>
          <w:szCs w:val="28"/>
        </w:rPr>
        <w:t>: Conversion from oral m</w:t>
      </w:r>
      <w:r w:rsidRPr="003E665B">
        <w:rPr>
          <w:rFonts w:asciiTheme="majorBidi" w:hAnsiTheme="majorBidi" w:cstheme="majorBidi"/>
          <w:b/>
          <w:bCs/>
          <w:sz w:val="28"/>
          <w:szCs w:val="28"/>
        </w:rPr>
        <w:t>orphine to Duragesic</w:t>
      </w:r>
      <w:r w:rsidRPr="003E665B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®</w:t>
      </w:r>
      <w:r w:rsidRPr="003E665B">
        <w:rPr>
          <w:rFonts w:asciiTheme="majorBidi" w:hAnsiTheme="majorBidi" w:cstheme="majorBidi"/>
          <w:b/>
          <w:bCs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E665B" w14:paraId="3E0FCFC0" w14:textId="77777777" w:rsidTr="003E665B">
        <w:tc>
          <w:tcPr>
            <w:tcW w:w="4261" w:type="dxa"/>
          </w:tcPr>
          <w:p w14:paraId="38DA93E9" w14:textId="4D96341B" w:rsid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665B">
              <w:rPr>
                <w:rFonts w:asciiTheme="majorBidi" w:hAnsiTheme="majorBidi" w:cstheme="majorBidi"/>
                <w:sz w:val="28"/>
                <w:szCs w:val="28"/>
              </w:rPr>
              <w:t>Oral 24-Hour Morphine (mg/d)</w:t>
            </w:r>
          </w:p>
        </w:tc>
        <w:tc>
          <w:tcPr>
            <w:tcW w:w="4261" w:type="dxa"/>
          </w:tcPr>
          <w:p w14:paraId="34691322" w14:textId="3E356B81" w:rsid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665B">
              <w:rPr>
                <w:rFonts w:asciiTheme="majorBidi" w:hAnsiTheme="majorBidi" w:cstheme="majorBidi"/>
                <w:sz w:val="28"/>
                <w:szCs w:val="28"/>
              </w:rPr>
              <w:t>Duragesic Dose (mcg/h)</w:t>
            </w:r>
          </w:p>
        </w:tc>
      </w:tr>
      <w:tr w:rsidR="003E665B" w14:paraId="1DFE4816" w14:textId="77777777" w:rsidTr="003E665B">
        <w:tc>
          <w:tcPr>
            <w:tcW w:w="4261" w:type="dxa"/>
          </w:tcPr>
          <w:p w14:paraId="7FA1CEC4" w14:textId="086BD3F4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665B">
              <w:rPr>
                <w:rFonts w:asciiTheme="majorBidi" w:hAnsiTheme="majorBidi" w:cstheme="majorBidi"/>
                <w:sz w:val="28"/>
                <w:szCs w:val="28"/>
              </w:rPr>
              <w:t xml:space="preserve">60–134 </w:t>
            </w:r>
          </w:p>
        </w:tc>
        <w:tc>
          <w:tcPr>
            <w:tcW w:w="4261" w:type="dxa"/>
          </w:tcPr>
          <w:p w14:paraId="7D86231F" w14:textId="54683B36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665B"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</w:tr>
      <w:tr w:rsidR="003E665B" w14:paraId="5BA834A9" w14:textId="77777777" w:rsidTr="003E665B">
        <w:tc>
          <w:tcPr>
            <w:tcW w:w="4261" w:type="dxa"/>
          </w:tcPr>
          <w:p w14:paraId="3F203627" w14:textId="58B3C8CF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135–224 </w:t>
            </w:r>
          </w:p>
        </w:tc>
        <w:tc>
          <w:tcPr>
            <w:tcW w:w="4261" w:type="dxa"/>
          </w:tcPr>
          <w:p w14:paraId="51CA5EEB" w14:textId="3DB4791C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665B"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</w:tr>
      <w:tr w:rsidR="003E665B" w14:paraId="24F7D8C3" w14:textId="77777777" w:rsidTr="003E665B">
        <w:tc>
          <w:tcPr>
            <w:tcW w:w="4261" w:type="dxa"/>
          </w:tcPr>
          <w:p w14:paraId="5EF928AF" w14:textId="7F0B8BEF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225–314 </w:t>
            </w:r>
          </w:p>
        </w:tc>
        <w:tc>
          <w:tcPr>
            <w:tcW w:w="4261" w:type="dxa"/>
          </w:tcPr>
          <w:p w14:paraId="179AB3FE" w14:textId="4F96EFA0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665B">
              <w:rPr>
                <w:rFonts w:asciiTheme="majorBidi" w:hAnsiTheme="majorBidi" w:cstheme="majorBidi"/>
                <w:sz w:val="28"/>
                <w:szCs w:val="28"/>
              </w:rPr>
              <w:t>75</w:t>
            </w:r>
          </w:p>
        </w:tc>
      </w:tr>
      <w:tr w:rsidR="003E665B" w14:paraId="2A68C745" w14:textId="77777777" w:rsidTr="003E665B">
        <w:tc>
          <w:tcPr>
            <w:tcW w:w="4261" w:type="dxa"/>
          </w:tcPr>
          <w:p w14:paraId="5343813D" w14:textId="682FEB49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315–404 </w:t>
            </w:r>
          </w:p>
        </w:tc>
        <w:tc>
          <w:tcPr>
            <w:tcW w:w="4261" w:type="dxa"/>
          </w:tcPr>
          <w:p w14:paraId="5FC1D72D" w14:textId="6C73BFC3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665B">
              <w:rPr>
                <w:rFonts w:asciiTheme="majorBidi" w:hAnsiTheme="majorBidi" w:cstheme="majorBidi"/>
                <w:sz w:val="28"/>
                <w:szCs w:val="28"/>
              </w:rPr>
              <w:t>100</w:t>
            </w:r>
          </w:p>
        </w:tc>
      </w:tr>
      <w:tr w:rsidR="003E665B" w14:paraId="5AAA31E1" w14:textId="77777777" w:rsidTr="003E665B">
        <w:tc>
          <w:tcPr>
            <w:tcW w:w="4261" w:type="dxa"/>
          </w:tcPr>
          <w:p w14:paraId="10B16774" w14:textId="68BDC457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405–494 </w:t>
            </w:r>
          </w:p>
        </w:tc>
        <w:tc>
          <w:tcPr>
            <w:tcW w:w="4261" w:type="dxa"/>
          </w:tcPr>
          <w:p w14:paraId="00DA8843" w14:textId="2F909899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665B">
              <w:rPr>
                <w:rFonts w:asciiTheme="majorBidi" w:hAnsiTheme="majorBidi" w:cstheme="majorBidi"/>
                <w:sz w:val="28"/>
                <w:szCs w:val="28"/>
              </w:rPr>
              <w:t>125</w:t>
            </w:r>
          </w:p>
        </w:tc>
      </w:tr>
      <w:tr w:rsidR="003E665B" w14:paraId="15047D8B" w14:textId="77777777" w:rsidTr="003E665B">
        <w:tc>
          <w:tcPr>
            <w:tcW w:w="4261" w:type="dxa"/>
          </w:tcPr>
          <w:p w14:paraId="4E485FC7" w14:textId="0133DA78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495–584 </w:t>
            </w:r>
          </w:p>
        </w:tc>
        <w:tc>
          <w:tcPr>
            <w:tcW w:w="4261" w:type="dxa"/>
          </w:tcPr>
          <w:p w14:paraId="498F2ED5" w14:textId="593AE9B1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665B">
              <w:rPr>
                <w:rFonts w:asciiTheme="majorBidi" w:hAnsiTheme="majorBidi" w:cstheme="majorBidi"/>
                <w:sz w:val="28"/>
                <w:szCs w:val="28"/>
              </w:rPr>
              <w:t>150</w:t>
            </w:r>
          </w:p>
        </w:tc>
      </w:tr>
      <w:tr w:rsidR="003E665B" w14:paraId="54ED19FB" w14:textId="77777777" w:rsidTr="003E665B">
        <w:tc>
          <w:tcPr>
            <w:tcW w:w="4261" w:type="dxa"/>
          </w:tcPr>
          <w:p w14:paraId="68510101" w14:textId="4C2F8B3F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585–674 </w:t>
            </w:r>
          </w:p>
        </w:tc>
        <w:tc>
          <w:tcPr>
            <w:tcW w:w="4261" w:type="dxa"/>
          </w:tcPr>
          <w:p w14:paraId="06A07675" w14:textId="44240969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665B">
              <w:rPr>
                <w:rFonts w:asciiTheme="majorBidi" w:hAnsiTheme="majorBidi" w:cstheme="majorBidi"/>
                <w:sz w:val="28"/>
                <w:szCs w:val="28"/>
              </w:rPr>
              <w:t>175</w:t>
            </w:r>
          </w:p>
        </w:tc>
      </w:tr>
      <w:tr w:rsidR="003E665B" w14:paraId="4C6DCF21" w14:textId="77777777" w:rsidTr="003E665B">
        <w:tc>
          <w:tcPr>
            <w:tcW w:w="4261" w:type="dxa"/>
          </w:tcPr>
          <w:p w14:paraId="40F2598C" w14:textId="14ECEB18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675–764 </w:t>
            </w:r>
          </w:p>
        </w:tc>
        <w:tc>
          <w:tcPr>
            <w:tcW w:w="4261" w:type="dxa"/>
          </w:tcPr>
          <w:p w14:paraId="2C62268E" w14:textId="3589E061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665B">
              <w:rPr>
                <w:rFonts w:asciiTheme="majorBidi" w:hAnsiTheme="majorBidi" w:cstheme="majorBidi"/>
                <w:sz w:val="28"/>
                <w:szCs w:val="28"/>
              </w:rPr>
              <w:t>200</w:t>
            </w:r>
          </w:p>
        </w:tc>
      </w:tr>
      <w:tr w:rsidR="003E665B" w14:paraId="5FE2043D" w14:textId="77777777" w:rsidTr="003E665B">
        <w:tc>
          <w:tcPr>
            <w:tcW w:w="4261" w:type="dxa"/>
          </w:tcPr>
          <w:p w14:paraId="1CBC0957" w14:textId="7209AA2D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765–854 </w:t>
            </w:r>
          </w:p>
        </w:tc>
        <w:tc>
          <w:tcPr>
            <w:tcW w:w="4261" w:type="dxa"/>
          </w:tcPr>
          <w:p w14:paraId="74BF09A5" w14:textId="0571BDE9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665B">
              <w:rPr>
                <w:rFonts w:asciiTheme="majorBidi" w:hAnsiTheme="majorBidi" w:cstheme="majorBidi"/>
                <w:sz w:val="28"/>
                <w:szCs w:val="28"/>
              </w:rPr>
              <w:t>225</w:t>
            </w:r>
          </w:p>
        </w:tc>
      </w:tr>
      <w:tr w:rsidR="003E665B" w14:paraId="0771C70D" w14:textId="77777777" w:rsidTr="003E665B">
        <w:tc>
          <w:tcPr>
            <w:tcW w:w="4261" w:type="dxa"/>
          </w:tcPr>
          <w:p w14:paraId="1AF6D727" w14:textId="5FCA491B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855–944 </w:t>
            </w:r>
          </w:p>
        </w:tc>
        <w:tc>
          <w:tcPr>
            <w:tcW w:w="4261" w:type="dxa"/>
          </w:tcPr>
          <w:p w14:paraId="0AA8C3F2" w14:textId="778F50DC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665B">
              <w:rPr>
                <w:rFonts w:asciiTheme="majorBidi" w:hAnsiTheme="majorBidi" w:cstheme="majorBidi"/>
                <w:sz w:val="28"/>
                <w:szCs w:val="28"/>
              </w:rPr>
              <w:t>250</w:t>
            </w:r>
          </w:p>
        </w:tc>
      </w:tr>
      <w:tr w:rsidR="003E665B" w14:paraId="4A219A91" w14:textId="77777777" w:rsidTr="003E665B">
        <w:tc>
          <w:tcPr>
            <w:tcW w:w="4261" w:type="dxa"/>
          </w:tcPr>
          <w:p w14:paraId="6DD9AFAE" w14:textId="01C87BC0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945–1034 </w:t>
            </w:r>
          </w:p>
        </w:tc>
        <w:tc>
          <w:tcPr>
            <w:tcW w:w="4261" w:type="dxa"/>
          </w:tcPr>
          <w:p w14:paraId="53359853" w14:textId="501DF11F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665B">
              <w:rPr>
                <w:rFonts w:asciiTheme="majorBidi" w:hAnsiTheme="majorBidi" w:cstheme="majorBidi"/>
                <w:sz w:val="28"/>
                <w:szCs w:val="28"/>
              </w:rPr>
              <w:t>275</w:t>
            </w:r>
          </w:p>
        </w:tc>
      </w:tr>
      <w:tr w:rsidR="003E665B" w14:paraId="35818E77" w14:textId="77777777" w:rsidTr="003E665B">
        <w:tc>
          <w:tcPr>
            <w:tcW w:w="4261" w:type="dxa"/>
          </w:tcPr>
          <w:p w14:paraId="3C83F812" w14:textId="52C46BCB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1035–1124 </w:t>
            </w:r>
          </w:p>
        </w:tc>
        <w:tc>
          <w:tcPr>
            <w:tcW w:w="4261" w:type="dxa"/>
          </w:tcPr>
          <w:p w14:paraId="2DD09219" w14:textId="27B80D00" w:rsidR="003E665B" w:rsidRPr="003E665B" w:rsidRDefault="003E665B" w:rsidP="003E665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665B">
              <w:rPr>
                <w:rFonts w:asciiTheme="majorBidi" w:hAnsiTheme="majorBidi" w:cstheme="majorBidi"/>
                <w:sz w:val="28"/>
                <w:szCs w:val="28"/>
              </w:rPr>
              <w:t>300</w:t>
            </w:r>
          </w:p>
        </w:tc>
      </w:tr>
    </w:tbl>
    <w:p w14:paraId="0B88C3A8" w14:textId="77777777" w:rsidR="00637B24" w:rsidRDefault="00637B24" w:rsidP="00A46E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ADDACB9" w14:textId="32952FEB" w:rsidR="00A46ED6" w:rsidRDefault="00A46ED6" w:rsidP="00637B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46ED6">
        <w:rPr>
          <w:rFonts w:asciiTheme="majorBidi" w:hAnsiTheme="majorBidi" w:cstheme="majorBidi"/>
          <w:sz w:val="28"/>
          <w:szCs w:val="28"/>
        </w:rPr>
        <w:t xml:space="preserve">Breitbart </w:t>
      </w:r>
      <w:r w:rsidRPr="00A46ED6">
        <w:rPr>
          <w:rFonts w:asciiTheme="majorBidi" w:hAnsiTheme="majorBidi" w:cstheme="majorBidi"/>
          <w:i/>
          <w:iCs/>
          <w:sz w:val="28"/>
          <w:szCs w:val="28"/>
        </w:rPr>
        <w:t>et al</w:t>
      </w:r>
      <w:r w:rsidRPr="00A46ED6">
        <w:rPr>
          <w:rFonts w:asciiTheme="majorBidi" w:hAnsiTheme="majorBidi" w:cstheme="majorBidi"/>
          <w:sz w:val="28"/>
          <w:szCs w:val="28"/>
        </w:rPr>
        <w:t>. recommend a 2:1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46ED6">
        <w:rPr>
          <w:rFonts w:asciiTheme="majorBidi" w:hAnsiTheme="majorBidi" w:cstheme="majorBidi"/>
          <w:sz w:val="28"/>
          <w:szCs w:val="28"/>
        </w:rPr>
        <w:t>ratio of oral morphine to transdermal fentanyl (i.e., 2 mg oral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46ED6">
        <w:rPr>
          <w:rFonts w:asciiTheme="majorBidi" w:hAnsiTheme="majorBidi" w:cstheme="majorBidi"/>
          <w:sz w:val="28"/>
          <w:szCs w:val="28"/>
        </w:rPr>
        <w:t>morphine is equivalent to 1 mcg/hour transdermal fentanyl),</w:t>
      </w:r>
      <w:r w:rsidRPr="00A46ED6">
        <w:rPr>
          <w:rFonts w:ascii="DanteMT-Regular" w:hAnsi="DanteMT-Regular" w:cs="DanteMT-Regular"/>
          <w:sz w:val="20"/>
          <w:szCs w:val="20"/>
        </w:rPr>
        <w:t xml:space="preserve"> </w:t>
      </w:r>
      <w:r w:rsidRPr="00A46ED6">
        <w:rPr>
          <w:rFonts w:asciiTheme="majorBidi" w:hAnsiTheme="majorBidi" w:cstheme="majorBidi"/>
          <w:sz w:val="28"/>
          <w:szCs w:val="28"/>
        </w:rPr>
        <w:t>resulting in higher transdermal fentanyl doses, which may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46ED6">
        <w:rPr>
          <w:rFonts w:asciiTheme="majorBidi" w:hAnsiTheme="majorBidi" w:cstheme="majorBidi"/>
          <w:sz w:val="28"/>
          <w:szCs w:val="28"/>
        </w:rPr>
        <w:t>excessive for elderly patients. A study by Donner et al. suggested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46ED6">
        <w:rPr>
          <w:rFonts w:asciiTheme="majorBidi" w:hAnsiTheme="majorBidi" w:cstheme="majorBidi"/>
          <w:sz w:val="28"/>
          <w:szCs w:val="28"/>
        </w:rPr>
        <w:t>a dose ratio of 60 mg/day oral morphine is equal to 25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46ED6">
        <w:rPr>
          <w:rFonts w:asciiTheme="majorBidi" w:hAnsiTheme="majorBidi" w:cstheme="majorBidi"/>
          <w:sz w:val="28"/>
          <w:szCs w:val="28"/>
        </w:rPr>
        <w:t>mcg/hour transdermal fentanyl, which falls between the manufacturer’s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46ED6">
        <w:rPr>
          <w:rFonts w:asciiTheme="majorBidi" w:hAnsiTheme="majorBidi" w:cstheme="majorBidi"/>
          <w:sz w:val="28"/>
          <w:szCs w:val="28"/>
        </w:rPr>
        <w:t xml:space="preserve">table and the study recommendations by Breitbart </w:t>
      </w:r>
      <w:r w:rsidRPr="00A46ED6">
        <w:rPr>
          <w:rFonts w:asciiTheme="majorBidi" w:hAnsiTheme="majorBidi" w:cstheme="majorBidi"/>
          <w:i/>
          <w:iCs/>
          <w:sz w:val="28"/>
          <w:szCs w:val="28"/>
        </w:rPr>
        <w:t>et al</w:t>
      </w:r>
      <w:r w:rsidRPr="00A46ED6">
        <w:rPr>
          <w:rFonts w:asciiTheme="majorBidi" w:hAnsiTheme="majorBidi" w:cstheme="majorBidi"/>
          <w:sz w:val="28"/>
          <w:szCs w:val="28"/>
        </w:rPr>
        <w:t>. The Donner conversion ratio is used in most references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46ED6">
        <w:rPr>
          <w:rFonts w:asciiTheme="majorBidi" w:hAnsiTheme="majorBidi" w:cstheme="majorBidi"/>
          <w:sz w:val="28"/>
          <w:szCs w:val="28"/>
        </w:rPr>
        <w:t>because it is less likely to cause underdosing or overdosing.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205C2A0F" w14:textId="77777777" w:rsidR="00637B24" w:rsidRDefault="00637B24" w:rsidP="00637B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9E13D78" w14:textId="4B29144D" w:rsidR="00885084" w:rsidRDefault="00A46ED6" w:rsidP="00A46E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46ED6">
        <w:rPr>
          <w:rFonts w:asciiTheme="majorBidi" w:hAnsiTheme="majorBidi" w:cstheme="majorBidi"/>
          <w:sz w:val="28"/>
          <w:szCs w:val="28"/>
        </w:rPr>
        <w:t>The calculations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46ED6">
        <w:rPr>
          <w:rFonts w:asciiTheme="majorBidi" w:hAnsiTheme="majorBidi" w:cstheme="majorBidi"/>
          <w:sz w:val="28"/>
          <w:szCs w:val="28"/>
        </w:rPr>
        <w:t>to convert L.V. from IV hydromorphone to transdermal</w:t>
      </w:r>
      <w:r w:rsidRPr="00A46ED6">
        <w:rPr>
          <w:rFonts w:ascii="DanteMT-Regular" w:hAnsi="DanteMT-Regular" w:cs="DanteMT-Regular"/>
          <w:sz w:val="20"/>
          <w:szCs w:val="20"/>
        </w:rPr>
        <w:t xml:space="preserve"> </w:t>
      </w:r>
      <w:r w:rsidRPr="00A46ED6">
        <w:rPr>
          <w:rFonts w:asciiTheme="majorBidi" w:hAnsiTheme="majorBidi" w:cstheme="majorBidi"/>
          <w:sz w:val="28"/>
          <w:szCs w:val="28"/>
        </w:rPr>
        <w:t xml:space="preserve">fentanyl </w:t>
      </w:r>
      <w:r>
        <w:rPr>
          <w:rFonts w:asciiTheme="majorBidi" w:hAnsiTheme="majorBidi" w:cstheme="majorBidi"/>
          <w:sz w:val="28"/>
          <w:szCs w:val="28"/>
        </w:rPr>
        <w:t>demonstrated in the following steps:</w:t>
      </w:r>
    </w:p>
    <w:p w14:paraId="01FCA964" w14:textId="77777777" w:rsidR="00756AA1" w:rsidRDefault="00756AA1" w:rsidP="00756AA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015EB00" w14:textId="77777777" w:rsidR="00A46ED6" w:rsidRPr="00A46ED6" w:rsidRDefault="00A46ED6" w:rsidP="00A46E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46ED6">
        <w:rPr>
          <w:rFonts w:asciiTheme="majorBidi" w:hAnsiTheme="majorBidi" w:cstheme="majorBidi"/>
          <w:b/>
          <w:bCs/>
          <w:sz w:val="28"/>
          <w:szCs w:val="28"/>
        </w:rPr>
        <w:t>Step 1:</w:t>
      </w:r>
    </w:p>
    <w:p w14:paraId="3CAE172C" w14:textId="7F25CEDF" w:rsidR="00A46ED6" w:rsidRDefault="00A46ED6" w:rsidP="00A46E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46ED6">
        <w:rPr>
          <w:rFonts w:asciiTheme="majorBidi" w:hAnsiTheme="majorBidi" w:cstheme="majorBidi"/>
          <w:sz w:val="28"/>
          <w:szCs w:val="28"/>
        </w:rPr>
        <w:t>Determine the 24-hour total of the opioid that will be converted. For L.V., the 24-hour total of intravenous hydromorphone is 14 mg.</w:t>
      </w:r>
    </w:p>
    <w:p w14:paraId="687E2A49" w14:textId="77777777" w:rsidR="00756AA1" w:rsidRPr="00A46ED6" w:rsidRDefault="00756AA1" w:rsidP="00756AA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DBBD3B7" w14:textId="77777777" w:rsidR="00A46ED6" w:rsidRPr="00A46ED6" w:rsidRDefault="00A46ED6" w:rsidP="00A46E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46ED6">
        <w:rPr>
          <w:rFonts w:asciiTheme="majorBidi" w:hAnsiTheme="majorBidi" w:cstheme="majorBidi"/>
          <w:b/>
          <w:bCs/>
          <w:sz w:val="28"/>
          <w:szCs w:val="28"/>
        </w:rPr>
        <w:t>Step 2:</w:t>
      </w:r>
    </w:p>
    <w:p w14:paraId="6F229D39" w14:textId="07FCD035" w:rsidR="00A46ED6" w:rsidRDefault="00A46ED6" w:rsidP="00A46E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46ED6">
        <w:rPr>
          <w:rFonts w:asciiTheme="majorBidi" w:hAnsiTheme="majorBidi" w:cstheme="majorBidi"/>
          <w:sz w:val="28"/>
          <w:szCs w:val="28"/>
        </w:rPr>
        <w:t>Select the equianalgesic dose ratio that corresponds to the opioid and route that will be converted from Table 5-1. Ratio calculations should be set up to correlate the actual dose with the equianalgesic equivalent as shown below:</w:t>
      </w:r>
    </w:p>
    <w:p w14:paraId="08CC2F1D" w14:textId="7A439032" w:rsidR="00A46ED6" w:rsidRPr="00A46ED6" w:rsidRDefault="00A51D5F" w:rsidP="00BB11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“X” mg total daily dose of new opioid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mg total daily dose of current opioid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equianalgesic factor of new opioid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equianalgesic factor of current opioid</m:t>
              </m:r>
            </m:den>
          </m:f>
        </m:oMath>
      </m:oMathPara>
    </w:p>
    <w:p w14:paraId="291E488C" w14:textId="51887588" w:rsidR="00A46ED6" w:rsidRDefault="00BB1143" w:rsidP="00BB11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B1143">
        <w:rPr>
          <w:rFonts w:asciiTheme="majorBidi" w:hAnsiTheme="majorBidi" w:cstheme="majorBidi"/>
          <w:sz w:val="28"/>
          <w:szCs w:val="28"/>
        </w:rPr>
        <w:t>For conversion of L.V.’s hydromorphone dose, 1.5 mg intravenous hydromorphone is equianalgesic to 30 mg oral morphine:</w:t>
      </w:r>
    </w:p>
    <w:p w14:paraId="7B11B0DA" w14:textId="42C5B1B6" w:rsidR="00BB1143" w:rsidRPr="00BB1143" w:rsidRDefault="00A51D5F" w:rsidP="00BB11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“X” mg total daily dose of new opioid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14 mg intravenous hydromorphone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30 mg oral morphine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1.5 mg intravenous hydromorphone</m:t>
              </m:r>
            </m:den>
          </m:f>
        </m:oMath>
      </m:oMathPara>
    </w:p>
    <w:p w14:paraId="121F6BBA" w14:textId="77777777" w:rsidR="00BB1143" w:rsidRPr="00BB1143" w:rsidRDefault="00BB1143" w:rsidP="00BB11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B1143">
        <w:rPr>
          <w:rFonts w:asciiTheme="majorBidi" w:hAnsiTheme="majorBidi" w:cstheme="majorBidi"/>
          <w:b/>
          <w:bCs/>
          <w:sz w:val="28"/>
          <w:szCs w:val="28"/>
        </w:rPr>
        <w:lastRenderedPageBreak/>
        <w:t>Step 3:</w:t>
      </w:r>
    </w:p>
    <w:p w14:paraId="32555DA8" w14:textId="7692084A" w:rsidR="00A46ED6" w:rsidRDefault="00BB1143" w:rsidP="00BB11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B1143">
        <w:rPr>
          <w:rFonts w:asciiTheme="majorBidi" w:hAnsiTheme="majorBidi" w:cstheme="majorBidi"/>
          <w:sz w:val="28"/>
          <w:szCs w:val="28"/>
        </w:rPr>
        <w:t>Cross multiply the ratio to determine</w:t>
      </w:r>
      <w:r>
        <w:rPr>
          <w:rFonts w:asciiTheme="majorBidi" w:hAnsiTheme="majorBidi" w:cstheme="majorBidi"/>
          <w:sz w:val="28"/>
          <w:szCs w:val="28"/>
        </w:rPr>
        <w:t xml:space="preserve"> the total daily dose of oral </w:t>
      </w:r>
      <w:r w:rsidRPr="00BB1143">
        <w:rPr>
          <w:rFonts w:asciiTheme="majorBidi" w:hAnsiTheme="majorBidi" w:cstheme="majorBidi"/>
          <w:sz w:val="28"/>
          <w:szCs w:val="28"/>
        </w:rPr>
        <w:t>morphine.</w:t>
      </w:r>
    </w:p>
    <w:p w14:paraId="2A5EE8C3" w14:textId="1650CD57" w:rsidR="00BB1143" w:rsidRPr="00BB1143" w:rsidRDefault="00BB1143" w:rsidP="00BB11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B1143">
        <w:rPr>
          <w:rFonts w:asciiTheme="majorBidi" w:hAnsiTheme="majorBidi" w:cstheme="majorBidi"/>
          <w:sz w:val="28"/>
          <w:szCs w:val="28"/>
        </w:rPr>
        <w:t>(1.5)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B1143">
        <w:rPr>
          <w:rFonts w:asciiTheme="majorBidi" w:hAnsiTheme="majorBidi" w:cstheme="majorBidi"/>
          <w:sz w:val="28"/>
          <w:szCs w:val="28"/>
        </w:rPr>
        <w:t>(X) = (14)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B1143">
        <w:rPr>
          <w:rFonts w:asciiTheme="majorBidi" w:hAnsiTheme="majorBidi" w:cstheme="majorBidi"/>
          <w:sz w:val="28"/>
          <w:szCs w:val="28"/>
        </w:rPr>
        <w:t>(30)</w:t>
      </w:r>
    </w:p>
    <w:p w14:paraId="161451B1" w14:textId="34E24452" w:rsidR="00BB1143" w:rsidRPr="00BB1143" w:rsidRDefault="00BB1143" w:rsidP="00BB11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B1143">
        <w:rPr>
          <w:rFonts w:asciiTheme="majorBidi" w:hAnsiTheme="majorBidi" w:cstheme="majorBidi"/>
          <w:sz w:val="28"/>
          <w:szCs w:val="28"/>
        </w:rPr>
        <w:t>1.5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B1143">
        <w:rPr>
          <w:rFonts w:asciiTheme="majorBidi" w:hAnsiTheme="majorBidi" w:cstheme="majorBidi"/>
          <w:sz w:val="28"/>
          <w:szCs w:val="28"/>
        </w:rPr>
        <w:t>X = 420</w:t>
      </w:r>
    </w:p>
    <w:p w14:paraId="5B54E742" w14:textId="49F36885" w:rsidR="00BB1143" w:rsidRDefault="00BB1143" w:rsidP="00BB11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B1143">
        <w:rPr>
          <w:rFonts w:asciiTheme="majorBidi" w:hAnsiTheme="majorBidi" w:cstheme="majorBidi"/>
          <w:sz w:val="28"/>
          <w:szCs w:val="28"/>
        </w:rPr>
        <w:t>X = 280 mg of oral morphine</w:t>
      </w:r>
    </w:p>
    <w:p w14:paraId="19FD9614" w14:textId="77777777" w:rsidR="00756AA1" w:rsidRPr="00BB1143" w:rsidRDefault="00756AA1" w:rsidP="00756AA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659C657" w14:textId="77777777" w:rsidR="00BB1143" w:rsidRPr="00BB1143" w:rsidRDefault="00BB1143" w:rsidP="00BB11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B1143">
        <w:rPr>
          <w:rFonts w:asciiTheme="majorBidi" w:hAnsiTheme="majorBidi" w:cstheme="majorBidi"/>
          <w:b/>
          <w:bCs/>
          <w:sz w:val="28"/>
          <w:szCs w:val="28"/>
        </w:rPr>
        <w:t>Step 4:</w:t>
      </w:r>
    </w:p>
    <w:p w14:paraId="281AC072" w14:textId="1DB66FA6" w:rsidR="00BB1143" w:rsidRDefault="00BB1143" w:rsidP="00BB11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B1143">
        <w:rPr>
          <w:rFonts w:asciiTheme="majorBidi" w:hAnsiTheme="majorBidi" w:cstheme="majorBidi"/>
          <w:sz w:val="28"/>
          <w:szCs w:val="28"/>
        </w:rPr>
        <w:t xml:space="preserve">Determine L.V.’s transdermal fentanyl </w:t>
      </w:r>
      <w:r>
        <w:rPr>
          <w:rFonts w:asciiTheme="majorBidi" w:hAnsiTheme="majorBidi" w:cstheme="majorBidi"/>
          <w:sz w:val="28"/>
          <w:szCs w:val="28"/>
        </w:rPr>
        <w:t xml:space="preserve">patch dose equivalent to 280 mg </w:t>
      </w:r>
      <w:r w:rsidRPr="00BB1143">
        <w:rPr>
          <w:rFonts w:asciiTheme="majorBidi" w:hAnsiTheme="majorBidi" w:cstheme="majorBidi"/>
          <w:sz w:val="28"/>
          <w:szCs w:val="28"/>
        </w:rPr>
        <w:t>oral morphine.</w:t>
      </w:r>
    </w:p>
    <w:p w14:paraId="7AE5E85A" w14:textId="77777777" w:rsidR="00756AA1" w:rsidRDefault="00756AA1" w:rsidP="00756AA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A43A514" w14:textId="42B8AFD6" w:rsidR="00BB1143" w:rsidRPr="00BB1143" w:rsidRDefault="00BB1143" w:rsidP="00BB11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BB1143">
        <w:rPr>
          <w:rFonts w:asciiTheme="majorBidi" w:hAnsiTheme="majorBidi" w:cstheme="majorBidi"/>
          <w:i/>
          <w:iCs/>
          <w:sz w:val="28"/>
          <w:szCs w:val="28"/>
        </w:rPr>
        <w:t>Manufacturer’s Conversion Ratio</w:t>
      </w:r>
    </w:p>
    <w:p w14:paraId="2020D38C" w14:textId="307335FD" w:rsidR="00BB1143" w:rsidRDefault="00BB1143" w:rsidP="00BB11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B1143">
        <w:rPr>
          <w:rFonts w:asciiTheme="majorBidi" w:hAnsiTheme="majorBidi" w:cstheme="majorBidi"/>
          <w:sz w:val="28"/>
          <w:szCs w:val="28"/>
        </w:rPr>
        <w:t>225–314 mg oral morphine/day = 75 mcg/hour transdermal fentanyl</w:t>
      </w:r>
    </w:p>
    <w:p w14:paraId="4EEAF1A4" w14:textId="77777777" w:rsidR="00756AA1" w:rsidRPr="00BB1143" w:rsidRDefault="00756AA1" w:rsidP="00756AA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6606F30" w14:textId="423E7F8E" w:rsidR="00BB1143" w:rsidRPr="00BB1143" w:rsidRDefault="00BB1143" w:rsidP="00BB11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BB1143">
        <w:rPr>
          <w:rFonts w:asciiTheme="majorBidi" w:hAnsiTheme="majorBidi" w:cstheme="majorBidi"/>
          <w:i/>
          <w:iCs/>
          <w:sz w:val="28"/>
          <w:szCs w:val="28"/>
        </w:rPr>
        <w:t>Donner Study Ratio</w:t>
      </w:r>
    </w:p>
    <w:p w14:paraId="21E5ABB0" w14:textId="72B04A1E" w:rsidR="00BB1143" w:rsidRDefault="00BB1143" w:rsidP="00BB11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B1143">
        <w:rPr>
          <w:rFonts w:asciiTheme="majorBidi" w:hAnsiTheme="majorBidi" w:cstheme="majorBidi"/>
          <w:sz w:val="28"/>
          <w:szCs w:val="28"/>
        </w:rPr>
        <w:t>The conversion ratio of 60 mg/day oral morphine to 25 mcg/hour transdermal fentanyl will be used for the calculation.</w:t>
      </w:r>
    </w:p>
    <w:p w14:paraId="70185170" w14:textId="53F1A212" w:rsidR="00BB1143" w:rsidRPr="00BB1143" w:rsidRDefault="00A51D5F" w:rsidP="00BB11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“X” mg total daily dose of new opioid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280 mg oral morphine/day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25 mcg/hour transdermal fentanyl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60 mg oral morphine/day</m:t>
              </m:r>
            </m:den>
          </m:f>
        </m:oMath>
      </m:oMathPara>
    </w:p>
    <w:p w14:paraId="675714E3" w14:textId="713559F2" w:rsidR="00BB1143" w:rsidRPr="00BB1143" w:rsidRDefault="00BB1143" w:rsidP="00BB11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B1143">
        <w:rPr>
          <w:rFonts w:asciiTheme="majorBidi" w:hAnsiTheme="majorBidi" w:cstheme="majorBidi"/>
          <w:sz w:val="28"/>
          <w:szCs w:val="28"/>
        </w:rPr>
        <w:t>(60)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B1143">
        <w:rPr>
          <w:rFonts w:asciiTheme="majorBidi" w:hAnsiTheme="majorBidi" w:cstheme="majorBidi"/>
          <w:sz w:val="28"/>
          <w:szCs w:val="28"/>
        </w:rPr>
        <w:t>(X) = (280)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B1143">
        <w:rPr>
          <w:rFonts w:asciiTheme="majorBidi" w:hAnsiTheme="majorBidi" w:cstheme="majorBidi"/>
          <w:sz w:val="28"/>
          <w:szCs w:val="28"/>
        </w:rPr>
        <w:t>(25)</w:t>
      </w:r>
    </w:p>
    <w:p w14:paraId="12C93C28" w14:textId="26450C67" w:rsidR="00BB1143" w:rsidRDefault="00BB1143" w:rsidP="00BB11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B1143">
        <w:rPr>
          <w:rFonts w:asciiTheme="majorBidi" w:hAnsiTheme="majorBidi" w:cstheme="majorBidi"/>
          <w:sz w:val="28"/>
          <w:szCs w:val="28"/>
        </w:rPr>
        <w:t>X = 116 mcg/hour transdermal fentanyl</w:t>
      </w:r>
    </w:p>
    <w:p w14:paraId="41F98D81" w14:textId="77777777" w:rsidR="00756AA1" w:rsidRPr="00BB1143" w:rsidRDefault="00756AA1" w:rsidP="00756AA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D158F64" w14:textId="470CA72B" w:rsidR="00BB1143" w:rsidRPr="00BB1143" w:rsidRDefault="00BB1143" w:rsidP="00BB11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BB1143">
        <w:rPr>
          <w:rFonts w:asciiTheme="majorBidi" w:hAnsiTheme="majorBidi" w:cstheme="majorBidi"/>
          <w:i/>
          <w:iCs/>
          <w:sz w:val="28"/>
          <w:szCs w:val="28"/>
        </w:rPr>
        <w:t>Breitbart Study Ratio</w:t>
      </w:r>
    </w:p>
    <w:p w14:paraId="2A4CE41E" w14:textId="4B75FE1A" w:rsidR="00BB1143" w:rsidRDefault="00BB1143" w:rsidP="00BB11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B1143">
        <w:rPr>
          <w:rFonts w:asciiTheme="majorBidi" w:hAnsiTheme="majorBidi" w:cstheme="majorBidi"/>
          <w:sz w:val="28"/>
          <w:szCs w:val="28"/>
        </w:rPr>
        <w:t>The conversion ratio of 2 mg oral morphine to 1 mcg/hour transdermal fentanyl will be used for the calculation.</w:t>
      </w:r>
    </w:p>
    <w:p w14:paraId="08A2115A" w14:textId="1879E1E1" w:rsidR="00BB1143" w:rsidRDefault="00A51D5F" w:rsidP="007E255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“X” mg total daily dose of new opioid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280 mg oral morphine/day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1 mcg/hour transdermal fentanyl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2 mg oral morphine/day</m:t>
              </m:r>
            </m:den>
          </m:f>
        </m:oMath>
      </m:oMathPara>
    </w:p>
    <w:p w14:paraId="1192D029" w14:textId="50759EDD" w:rsidR="007E2552" w:rsidRPr="007E2552" w:rsidRDefault="007E2552" w:rsidP="007E255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E2552">
        <w:rPr>
          <w:rFonts w:asciiTheme="majorBidi" w:hAnsiTheme="majorBidi" w:cstheme="majorBidi"/>
          <w:sz w:val="28"/>
          <w:szCs w:val="28"/>
        </w:rPr>
        <w:t>(2)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E2552">
        <w:rPr>
          <w:rFonts w:asciiTheme="majorBidi" w:hAnsiTheme="majorBidi" w:cstheme="majorBidi"/>
          <w:sz w:val="28"/>
          <w:szCs w:val="28"/>
        </w:rPr>
        <w:t>(X) = (280)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E2552">
        <w:rPr>
          <w:rFonts w:asciiTheme="majorBidi" w:hAnsiTheme="majorBidi" w:cstheme="majorBidi"/>
          <w:sz w:val="28"/>
          <w:szCs w:val="28"/>
        </w:rPr>
        <w:t>(1)</w:t>
      </w:r>
    </w:p>
    <w:p w14:paraId="24C4FCEB" w14:textId="26C63A82" w:rsidR="00BB1143" w:rsidRDefault="007E2552" w:rsidP="007E255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E2552">
        <w:rPr>
          <w:rFonts w:asciiTheme="majorBidi" w:hAnsiTheme="majorBidi" w:cstheme="majorBidi"/>
          <w:sz w:val="28"/>
          <w:szCs w:val="28"/>
        </w:rPr>
        <w:t>X = 140 mcg/hour transdermal fentanyl</w:t>
      </w:r>
    </w:p>
    <w:p w14:paraId="1DBF6678" w14:textId="77777777" w:rsidR="0082265B" w:rsidRDefault="0082265B" w:rsidP="0082265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E66F68E" w14:textId="07B430F1" w:rsidR="0082265B" w:rsidRDefault="0082265B" w:rsidP="008226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>Methadone Dose</w:t>
      </w:r>
      <w:r w:rsidRPr="002B5772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>Calculation</w:t>
      </w:r>
    </w:p>
    <w:p w14:paraId="0ACA9E1D" w14:textId="7F22CFE5" w:rsidR="00BB1143" w:rsidRDefault="0082265B" w:rsidP="008226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2265B">
        <w:rPr>
          <w:rFonts w:asciiTheme="majorBidi" w:hAnsiTheme="majorBidi" w:cstheme="majorBidi"/>
          <w:sz w:val="28"/>
          <w:szCs w:val="28"/>
        </w:rPr>
        <w:t xml:space="preserve">L.V. has now completed </w:t>
      </w:r>
      <w:r>
        <w:rPr>
          <w:rFonts w:asciiTheme="majorBidi" w:hAnsiTheme="majorBidi" w:cstheme="majorBidi"/>
          <w:sz w:val="28"/>
          <w:szCs w:val="28"/>
        </w:rPr>
        <w:t xml:space="preserve">chemoradiation </w:t>
      </w:r>
      <w:r w:rsidRPr="0082265B">
        <w:rPr>
          <w:rFonts w:asciiTheme="majorBidi" w:hAnsiTheme="majorBidi" w:cstheme="majorBidi"/>
          <w:sz w:val="28"/>
          <w:szCs w:val="28"/>
        </w:rPr>
        <w:t>therapy, and the mucositis pain has resolved. He continues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2265B">
        <w:rPr>
          <w:rFonts w:asciiTheme="majorBidi" w:hAnsiTheme="majorBidi" w:cstheme="majorBidi"/>
          <w:sz w:val="28"/>
          <w:szCs w:val="28"/>
        </w:rPr>
        <w:t>to have pers</w:t>
      </w:r>
      <w:r>
        <w:rPr>
          <w:rFonts w:asciiTheme="majorBidi" w:hAnsiTheme="majorBidi" w:cstheme="majorBidi"/>
          <w:sz w:val="28"/>
          <w:szCs w:val="28"/>
        </w:rPr>
        <w:t xml:space="preserve">istent burning neuropathic pain </w:t>
      </w:r>
      <w:r w:rsidRPr="0082265B">
        <w:rPr>
          <w:rFonts w:asciiTheme="majorBidi" w:hAnsiTheme="majorBidi" w:cstheme="majorBidi"/>
          <w:sz w:val="28"/>
          <w:szCs w:val="28"/>
        </w:rPr>
        <w:t>rated 8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2265B">
        <w:rPr>
          <w:rFonts w:asciiTheme="majorBidi" w:hAnsiTheme="majorBidi" w:cstheme="majorBidi"/>
          <w:sz w:val="28"/>
          <w:szCs w:val="28"/>
        </w:rPr>
        <w:t>of 10 in the neck and shoulders and is using transdermal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2265B">
        <w:rPr>
          <w:rFonts w:asciiTheme="majorBidi" w:hAnsiTheme="majorBidi" w:cstheme="majorBidi"/>
          <w:sz w:val="28"/>
          <w:szCs w:val="28"/>
        </w:rPr>
        <w:t>fentanyl 100 mcg/hour along with five doses of immediate</w:t>
      </w:r>
      <w:r>
        <w:rPr>
          <w:rFonts w:asciiTheme="majorBidi" w:hAnsiTheme="majorBidi" w:cstheme="majorBidi"/>
          <w:sz w:val="28"/>
          <w:szCs w:val="28"/>
        </w:rPr>
        <w:t>-</w:t>
      </w:r>
      <w:r w:rsidRPr="0082265B">
        <w:rPr>
          <w:rFonts w:asciiTheme="majorBidi" w:hAnsiTheme="majorBidi" w:cstheme="majorBidi"/>
          <w:sz w:val="28"/>
          <w:szCs w:val="28"/>
        </w:rPr>
        <w:t>release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2265B">
        <w:rPr>
          <w:rFonts w:asciiTheme="majorBidi" w:hAnsiTheme="majorBidi" w:cstheme="majorBidi"/>
          <w:sz w:val="28"/>
          <w:szCs w:val="28"/>
        </w:rPr>
        <w:t>oral morphine 30 mg per day. He is also taking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2265B">
        <w:rPr>
          <w:rFonts w:asciiTheme="majorBidi" w:hAnsiTheme="majorBidi" w:cstheme="majorBidi"/>
          <w:sz w:val="28"/>
          <w:szCs w:val="28"/>
        </w:rPr>
        <w:t>gabapentin 900 mg orally three times a day and using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2265B">
        <w:rPr>
          <w:rFonts w:asciiTheme="majorBidi" w:hAnsiTheme="majorBidi" w:cstheme="majorBidi"/>
          <w:sz w:val="28"/>
          <w:szCs w:val="28"/>
        </w:rPr>
        <w:t>Lidoderm patch on each shoulder. L.V.’s oncologist wants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2265B">
        <w:rPr>
          <w:rFonts w:asciiTheme="majorBidi" w:hAnsiTheme="majorBidi" w:cstheme="majorBidi"/>
          <w:sz w:val="28"/>
          <w:szCs w:val="28"/>
        </w:rPr>
        <w:t>to switch to oral methadone for neuropathic pain management.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2265B">
        <w:rPr>
          <w:rFonts w:asciiTheme="majorBidi" w:hAnsiTheme="majorBidi" w:cstheme="majorBidi"/>
          <w:sz w:val="28"/>
          <w:szCs w:val="28"/>
        </w:rPr>
        <w:t>What is the oral methadone dose L.V. should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2265B">
        <w:rPr>
          <w:rFonts w:asciiTheme="majorBidi" w:hAnsiTheme="majorBidi" w:cstheme="majorBidi"/>
          <w:sz w:val="28"/>
          <w:szCs w:val="28"/>
        </w:rPr>
        <w:t>started on?</w:t>
      </w:r>
    </w:p>
    <w:p w14:paraId="5116D35F" w14:textId="77777777" w:rsidR="002A156A" w:rsidRDefault="002A156A" w:rsidP="002A156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58E7CE6" w14:textId="3EE1D023" w:rsidR="002A156A" w:rsidRDefault="002A156A" w:rsidP="002A156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A156A">
        <w:rPr>
          <w:rFonts w:asciiTheme="majorBidi" w:hAnsiTheme="majorBidi" w:cstheme="majorBidi"/>
          <w:sz w:val="28"/>
          <w:szCs w:val="28"/>
        </w:rPr>
        <w:t>Unlike short-acting opioids</w:t>
      </w:r>
      <w:r>
        <w:rPr>
          <w:rFonts w:asciiTheme="majorBidi" w:hAnsiTheme="majorBidi" w:cstheme="majorBidi"/>
          <w:sz w:val="28"/>
          <w:szCs w:val="28"/>
        </w:rPr>
        <w:t xml:space="preserve">, methadone has a long half-life </w:t>
      </w:r>
      <w:r w:rsidRPr="002A156A">
        <w:rPr>
          <w:rFonts w:asciiTheme="majorBidi" w:hAnsiTheme="majorBidi" w:cstheme="majorBidi"/>
          <w:sz w:val="28"/>
          <w:szCs w:val="28"/>
        </w:rPr>
        <w:t>that ranges from 15 to 60 hours with a duration of action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B3EBC">
        <w:rPr>
          <w:rFonts w:asciiTheme="majorBidi" w:hAnsiTheme="majorBidi" w:cstheme="majorBidi"/>
          <w:sz w:val="28"/>
          <w:szCs w:val="28"/>
        </w:rPr>
        <w:t>6 to 12 hours.</w:t>
      </w:r>
      <w:r w:rsidRPr="002A156A">
        <w:rPr>
          <w:rFonts w:asciiTheme="majorBidi" w:hAnsiTheme="majorBidi" w:cstheme="majorBidi"/>
          <w:sz w:val="28"/>
          <w:szCs w:val="28"/>
        </w:rPr>
        <w:t xml:space="preserve"> The conversion to methadone is not proportional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A156A">
        <w:rPr>
          <w:rFonts w:asciiTheme="majorBidi" w:hAnsiTheme="majorBidi" w:cstheme="majorBidi"/>
          <w:sz w:val="28"/>
          <w:szCs w:val="28"/>
        </w:rPr>
        <w:t xml:space="preserve">like other opioid </w:t>
      </w:r>
      <w:r w:rsidRPr="002A156A">
        <w:rPr>
          <w:rFonts w:asciiTheme="majorBidi" w:hAnsiTheme="majorBidi" w:cstheme="majorBidi"/>
          <w:sz w:val="28"/>
          <w:szCs w:val="28"/>
        </w:rPr>
        <w:lastRenderedPageBreak/>
        <w:t>equianalgesic dose calculations.</w:t>
      </w:r>
      <w:r w:rsidRPr="002A156A">
        <w:rPr>
          <w:rFonts w:ascii="DanteMT-Regular" w:hAnsi="DanteMT-Regular" w:cs="DanteMT-Regular"/>
          <w:sz w:val="20"/>
          <w:szCs w:val="20"/>
        </w:rPr>
        <w:t xml:space="preserve"> </w:t>
      </w:r>
      <w:r w:rsidRPr="002A156A">
        <w:rPr>
          <w:rFonts w:asciiTheme="majorBidi" w:hAnsiTheme="majorBidi" w:cstheme="majorBidi"/>
          <w:sz w:val="28"/>
          <w:szCs w:val="28"/>
        </w:rPr>
        <w:t>The most commonly used morphine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A156A">
        <w:rPr>
          <w:rFonts w:asciiTheme="majorBidi" w:hAnsiTheme="majorBidi" w:cstheme="majorBidi"/>
          <w:sz w:val="28"/>
          <w:szCs w:val="28"/>
        </w:rPr>
        <w:t xml:space="preserve">methadone </w:t>
      </w:r>
      <w:r>
        <w:rPr>
          <w:rFonts w:asciiTheme="majorBidi" w:hAnsiTheme="majorBidi" w:cstheme="majorBidi"/>
          <w:sz w:val="28"/>
          <w:szCs w:val="28"/>
        </w:rPr>
        <w:t>conversions are given in Table 5-3</w:t>
      </w:r>
      <w:r w:rsidRPr="002A156A">
        <w:rPr>
          <w:rFonts w:asciiTheme="majorBidi" w:hAnsiTheme="majorBidi" w:cstheme="majorBidi"/>
          <w:sz w:val="28"/>
          <w:szCs w:val="28"/>
        </w:rPr>
        <w:t>.</w:t>
      </w:r>
    </w:p>
    <w:p w14:paraId="775459B8" w14:textId="77777777" w:rsidR="008B3EBC" w:rsidRDefault="008B3EBC" w:rsidP="008B3E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94904FC" w14:textId="3F3A5765" w:rsidR="002A156A" w:rsidRDefault="002A156A" w:rsidP="002A156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Table 5-3</w:t>
      </w:r>
      <w:r w:rsidRPr="00CE4A28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2A156A">
        <w:rPr>
          <w:rFonts w:asciiTheme="majorBidi" w:hAnsiTheme="majorBidi" w:cstheme="majorBidi"/>
          <w:b/>
          <w:bCs/>
          <w:sz w:val="28"/>
          <w:szCs w:val="28"/>
        </w:rPr>
        <w:t>Morphine t</w:t>
      </w:r>
      <w:r>
        <w:rPr>
          <w:rFonts w:asciiTheme="majorBidi" w:hAnsiTheme="majorBidi" w:cstheme="majorBidi"/>
          <w:b/>
          <w:bCs/>
          <w:sz w:val="28"/>
          <w:szCs w:val="28"/>
        </w:rPr>
        <w:t>o methadone equianalgesic dose r</w:t>
      </w:r>
      <w:r w:rsidRPr="002A156A">
        <w:rPr>
          <w:rFonts w:asciiTheme="majorBidi" w:hAnsiTheme="majorBidi" w:cstheme="majorBidi"/>
          <w:b/>
          <w:bCs/>
          <w:sz w:val="28"/>
          <w:szCs w:val="28"/>
        </w:rPr>
        <w:t>atio</w:t>
      </w:r>
      <w:r w:rsidRPr="00CE4A28">
        <w:rPr>
          <w:rFonts w:asciiTheme="majorBidi" w:hAnsiTheme="majorBidi" w:cstheme="majorBidi"/>
          <w:b/>
          <w:bCs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4"/>
        <w:gridCol w:w="661"/>
        <w:gridCol w:w="1076"/>
        <w:gridCol w:w="1076"/>
        <w:gridCol w:w="1076"/>
        <w:gridCol w:w="1157"/>
        <w:gridCol w:w="772"/>
      </w:tblGrid>
      <w:tr w:rsidR="002A156A" w14:paraId="73271568" w14:textId="77777777" w:rsidTr="00EE7F15">
        <w:tc>
          <w:tcPr>
            <w:tcW w:w="2718" w:type="dxa"/>
          </w:tcPr>
          <w:p w14:paraId="2C77BEC3" w14:textId="72D29D42" w:rsidR="002A156A" w:rsidRDefault="002A156A" w:rsidP="002A156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A156A">
              <w:rPr>
                <w:rFonts w:asciiTheme="majorBidi" w:hAnsiTheme="majorBidi" w:cstheme="majorBidi"/>
                <w:sz w:val="28"/>
                <w:szCs w:val="28"/>
              </w:rPr>
              <w:t>Oral Morphine Dose (mg/d)</w:t>
            </w:r>
          </w:p>
        </w:tc>
        <w:tc>
          <w:tcPr>
            <w:tcW w:w="630" w:type="dxa"/>
          </w:tcPr>
          <w:p w14:paraId="08DE1AB5" w14:textId="17AFCDAB" w:rsidR="002A156A" w:rsidRDefault="002A156A" w:rsidP="002A156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4162">
              <w:t xml:space="preserve">&lt;100 </w:t>
            </w:r>
          </w:p>
        </w:tc>
        <w:tc>
          <w:tcPr>
            <w:tcW w:w="1080" w:type="dxa"/>
          </w:tcPr>
          <w:p w14:paraId="4BB33964" w14:textId="7EC2DB40" w:rsidR="002A156A" w:rsidRDefault="002A156A" w:rsidP="002A156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4162">
              <w:t xml:space="preserve">101–300 </w:t>
            </w:r>
          </w:p>
        </w:tc>
        <w:tc>
          <w:tcPr>
            <w:tcW w:w="1080" w:type="dxa"/>
          </w:tcPr>
          <w:p w14:paraId="35AD8E8A" w14:textId="1458C2AB" w:rsidR="002A156A" w:rsidRDefault="002A156A" w:rsidP="002A156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4162">
              <w:t xml:space="preserve">301–600 </w:t>
            </w:r>
          </w:p>
        </w:tc>
        <w:tc>
          <w:tcPr>
            <w:tcW w:w="1080" w:type="dxa"/>
          </w:tcPr>
          <w:p w14:paraId="5E421C79" w14:textId="663B248A" w:rsidR="002A156A" w:rsidRDefault="002A156A" w:rsidP="002A156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4162">
              <w:t xml:space="preserve">601–800 </w:t>
            </w:r>
          </w:p>
        </w:tc>
        <w:tc>
          <w:tcPr>
            <w:tcW w:w="1162" w:type="dxa"/>
          </w:tcPr>
          <w:p w14:paraId="294B2DB8" w14:textId="3B8A0454" w:rsidR="002A156A" w:rsidRDefault="002A156A" w:rsidP="002A156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4162">
              <w:t xml:space="preserve">801–1000 </w:t>
            </w:r>
          </w:p>
        </w:tc>
        <w:tc>
          <w:tcPr>
            <w:tcW w:w="772" w:type="dxa"/>
          </w:tcPr>
          <w:p w14:paraId="4425A491" w14:textId="38D4CB8E" w:rsidR="002A156A" w:rsidRDefault="002A156A" w:rsidP="002A156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4162">
              <w:t>≥1001</w:t>
            </w:r>
          </w:p>
        </w:tc>
      </w:tr>
      <w:tr w:rsidR="002A156A" w14:paraId="1DDD333E" w14:textId="77777777" w:rsidTr="00EE7F15">
        <w:tc>
          <w:tcPr>
            <w:tcW w:w="2718" w:type="dxa"/>
          </w:tcPr>
          <w:p w14:paraId="3D6D229B" w14:textId="78684FE0" w:rsidR="002A156A" w:rsidRDefault="002A156A" w:rsidP="002A156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A156A">
              <w:rPr>
                <w:rFonts w:asciiTheme="majorBidi" w:hAnsiTheme="majorBidi" w:cstheme="majorBidi"/>
                <w:sz w:val="28"/>
                <w:szCs w:val="28"/>
              </w:rPr>
              <w:t>Oral morphine to oral methadone ratio</w:t>
            </w:r>
          </w:p>
        </w:tc>
        <w:tc>
          <w:tcPr>
            <w:tcW w:w="630" w:type="dxa"/>
          </w:tcPr>
          <w:p w14:paraId="1ED55679" w14:textId="07342CCD" w:rsidR="002A156A" w:rsidRDefault="002A156A" w:rsidP="002A156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B2D04">
              <w:t xml:space="preserve">3:1 </w:t>
            </w:r>
          </w:p>
        </w:tc>
        <w:tc>
          <w:tcPr>
            <w:tcW w:w="1080" w:type="dxa"/>
          </w:tcPr>
          <w:p w14:paraId="79632257" w14:textId="090E5EB5" w:rsidR="002A156A" w:rsidRDefault="002A156A" w:rsidP="002A156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B2D04">
              <w:t xml:space="preserve">5:1 </w:t>
            </w:r>
          </w:p>
        </w:tc>
        <w:tc>
          <w:tcPr>
            <w:tcW w:w="1080" w:type="dxa"/>
          </w:tcPr>
          <w:p w14:paraId="6B296142" w14:textId="39F7D057" w:rsidR="002A156A" w:rsidRDefault="002A156A" w:rsidP="002A156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B2D04">
              <w:t xml:space="preserve">10:1 </w:t>
            </w:r>
          </w:p>
        </w:tc>
        <w:tc>
          <w:tcPr>
            <w:tcW w:w="1080" w:type="dxa"/>
          </w:tcPr>
          <w:p w14:paraId="2D851258" w14:textId="74200529" w:rsidR="002A156A" w:rsidRDefault="002A156A" w:rsidP="002A156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B2D04">
              <w:t xml:space="preserve">12:1 </w:t>
            </w:r>
          </w:p>
        </w:tc>
        <w:tc>
          <w:tcPr>
            <w:tcW w:w="1162" w:type="dxa"/>
          </w:tcPr>
          <w:p w14:paraId="651D8D10" w14:textId="51EB0AC3" w:rsidR="002A156A" w:rsidRDefault="002A156A" w:rsidP="002A156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B2D04">
              <w:t xml:space="preserve">15:1 </w:t>
            </w:r>
          </w:p>
        </w:tc>
        <w:tc>
          <w:tcPr>
            <w:tcW w:w="772" w:type="dxa"/>
          </w:tcPr>
          <w:p w14:paraId="39B98983" w14:textId="4108C2FE" w:rsidR="002A156A" w:rsidRDefault="002A156A" w:rsidP="002A156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B2D04">
              <w:t>20:1</w:t>
            </w:r>
          </w:p>
        </w:tc>
      </w:tr>
    </w:tbl>
    <w:p w14:paraId="676E9241" w14:textId="77777777" w:rsidR="008B3EBC" w:rsidRDefault="008B3EBC" w:rsidP="006B2B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C378480" w14:textId="77FAB13E" w:rsidR="002A156A" w:rsidRDefault="006B2B1C" w:rsidP="008B3E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2B1C">
        <w:rPr>
          <w:rFonts w:asciiTheme="majorBidi" w:hAnsiTheme="majorBidi" w:cstheme="majorBidi"/>
          <w:sz w:val="28"/>
          <w:szCs w:val="28"/>
        </w:rPr>
        <w:t>The dose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2B1C">
        <w:rPr>
          <w:rFonts w:asciiTheme="majorBidi" w:hAnsiTheme="majorBidi" w:cstheme="majorBidi"/>
          <w:sz w:val="28"/>
          <w:szCs w:val="28"/>
        </w:rPr>
        <w:t>of oral morphine falls within the dose range of 301 to 600 mg,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2B1C">
        <w:rPr>
          <w:rFonts w:asciiTheme="majorBidi" w:hAnsiTheme="majorBidi" w:cstheme="majorBidi"/>
          <w:sz w:val="28"/>
          <w:szCs w:val="28"/>
        </w:rPr>
        <w:t>which corresponds to a 10:1 oral morphine to oral methadone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2B1C">
        <w:rPr>
          <w:rFonts w:asciiTheme="majorBidi" w:hAnsiTheme="majorBidi" w:cstheme="majorBidi"/>
          <w:sz w:val="28"/>
          <w:szCs w:val="28"/>
        </w:rPr>
        <w:t>ratio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15658DA4" w14:textId="77777777" w:rsidR="008B3EBC" w:rsidRDefault="008B3EBC" w:rsidP="00EE7F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F7BE06F" w14:textId="029C3476" w:rsidR="00EE7F15" w:rsidRDefault="00EE7F15" w:rsidP="008B3E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</w:t>
      </w:r>
      <w:r w:rsidRPr="00EE7F15">
        <w:rPr>
          <w:rFonts w:asciiTheme="majorBidi" w:hAnsiTheme="majorBidi" w:cstheme="majorBidi"/>
          <w:sz w:val="28"/>
          <w:szCs w:val="28"/>
        </w:rPr>
        <w:t>calculations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E7F15">
        <w:rPr>
          <w:rFonts w:asciiTheme="majorBidi" w:hAnsiTheme="majorBidi" w:cstheme="majorBidi"/>
          <w:sz w:val="28"/>
          <w:szCs w:val="28"/>
        </w:rPr>
        <w:t>convert transdermal fentanyl to oral methadone in L.V.</w:t>
      </w:r>
      <w:r>
        <w:rPr>
          <w:rFonts w:asciiTheme="majorBidi" w:hAnsiTheme="majorBidi" w:cstheme="majorBidi"/>
          <w:sz w:val="28"/>
          <w:szCs w:val="28"/>
        </w:rPr>
        <w:t xml:space="preserve"> are:</w:t>
      </w:r>
    </w:p>
    <w:p w14:paraId="3D955016" w14:textId="77777777" w:rsidR="008B3EBC" w:rsidRDefault="008B3EBC" w:rsidP="008B3E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F969B2E" w14:textId="77777777" w:rsidR="00EE7F15" w:rsidRPr="00EE7F15" w:rsidRDefault="00EE7F15" w:rsidP="00EE7F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E7F15">
        <w:rPr>
          <w:rFonts w:asciiTheme="majorBidi" w:hAnsiTheme="majorBidi" w:cstheme="majorBidi"/>
          <w:b/>
          <w:bCs/>
          <w:sz w:val="28"/>
          <w:szCs w:val="28"/>
        </w:rPr>
        <w:t>Step 1:</w:t>
      </w:r>
    </w:p>
    <w:p w14:paraId="319B329F" w14:textId="73F77736" w:rsidR="00EE7F15" w:rsidRDefault="00EE7F15" w:rsidP="00EE7F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E7F15">
        <w:rPr>
          <w:rFonts w:asciiTheme="majorBidi" w:hAnsiTheme="majorBidi" w:cstheme="majorBidi"/>
          <w:sz w:val="28"/>
          <w:szCs w:val="28"/>
        </w:rPr>
        <w:t>Determine the 24-hour total of the opioid that will be converted. For L.V., the transdermal fentanyl 100 mcg/hour patch will need to be converted to oral morphine. In addition, L.V. is using 150 mg/day of immediate-release oral morphine.</w:t>
      </w:r>
    </w:p>
    <w:p w14:paraId="77A53A04" w14:textId="77777777" w:rsidR="008B3EBC" w:rsidRPr="00EE7F15" w:rsidRDefault="008B3EBC" w:rsidP="008B3E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9F1C745" w14:textId="0BBCAF43" w:rsidR="00EE7F15" w:rsidRPr="00EE7F15" w:rsidRDefault="00EE7F15" w:rsidP="00EE7F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EE7F15">
        <w:rPr>
          <w:rFonts w:asciiTheme="majorBidi" w:hAnsiTheme="majorBidi" w:cstheme="majorBidi"/>
          <w:i/>
          <w:iCs/>
          <w:sz w:val="28"/>
          <w:szCs w:val="28"/>
        </w:rPr>
        <w:t>Donner Study Ratio</w:t>
      </w:r>
    </w:p>
    <w:p w14:paraId="0688A494" w14:textId="609C4E31" w:rsidR="00EE7F15" w:rsidRDefault="00EE7F15" w:rsidP="00EE7F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E7F15">
        <w:rPr>
          <w:rFonts w:asciiTheme="majorBidi" w:hAnsiTheme="majorBidi" w:cstheme="majorBidi"/>
          <w:sz w:val="28"/>
          <w:szCs w:val="28"/>
        </w:rPr>
        <w:t>The conversion ratio of 60 mg/day oral morphine to 25 mcg/hour transdermal fentanyl will be used for the calculation.</w:t>
      </w:r>
    </w:p>
    <w:p w14:paraId="6770981F" w14:textId="412A50CF" w:rsidR="00EE7F15" w:rsidRPr="002A156A" w:rsidRDefault="00A51D5F" w:rsidP="00EE7F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“X” mg total daily dose of new opioid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100 mcg/hour transdermal fentanyl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60 mg/day oral morphine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25 mcg/hour transdermal fentanyl</m:t>
              </m:r>
            </m:den>
          </m:f>
        </m:oMath>
      </m:oMathPara>
    </w:p>
    <w:p w14:paraId="0AF76E31" w14:textId="10682F18" w:rsidR="00EE7F15" w:rsidRPr="00EE7F15" w:rsidRDefault="00EE7F15" w:rsidP="00EE7F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E7F15">
        <w:rPr>
          <w:rFonts w:asciiTheme="majorBidi" w:hAnsiTheme="majorBidi" w:cstheme="majorBidi"/>
          <w:sz w:val="28"/>
          <w:szCs w:val="28"/>
        </w:rPr>
        <w:t>(25)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E7F15">
        <w:rPr>
          <w:rFonts w:asciiTheme="majorBidi" w:hAnsiTheme="majorBidi" w:cstheme="majorBidi"/>
          <w:sz w:val="28"/>
          <w:szCs w:val="28"/>
        </w:rPr>
        <w:t>(X) = (100)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E7F15">
        <w:rPr>
          <w:rFonts w:asciiTheme="majorBidi" w:hAnsiTheme="majorBidi" w:cstheme="majorBidi"/>
          <w:sz w:val="28"/>
          <w:szCs w:val="28"/>
        </w:rPr>
        <w:t>(60)</w:t>
      </w:r>
    </w:p>
    <w:p w14:paraId="514B0206" w14:textId="77777777" w:rsidR="00EE7F15" w:rsidRPr="00EE7F15" w:rsidRDefault="00EE7F15" w:rsidP="00EE7F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E7F15">
        <w:rPr>
          <w:rFonts w:asciiTheme="majorBidi" w:hAnsiTheme="majorBidi" w:cstheme="majorBidi"/>
          <w:sz w:val="28"/>
          <w:szCs w:val="28"/>
        </w:rPr>
        <w:t>X = 240 mg oral morphine</w:t>
      </w:r>
    </w:p>
    <w:p w14:paraId="4599912C" w14:textId="18AF9EC5" w:rsidR="00EE7F15" w:rsidRDefault="00EE7F15" w:rsidP="00EE7F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E7F15">
        <w:rPr>
          <w:rFonts w:asciiTheme="majorBidi" w:hAnsiTheme="majorBidi" w:cstheme="majorBidi"/>
          <w:sz w:val="28"/>
          <w:szCs w:val="28"/>
        </w:rPr>
        <w:t>Therefore, the total daily dose of oral morphine is 390 mg (240 mg + 150 mg)</w:t>
      </w:r>
    </w:p>
    <w:p w14:paraId="246AB406" w14:textId="77777777" w:rsidR="008B3EBC" w:rsidRPr="00EE7F15" w:rsidRDefault="008B3EBC" w:rsidP="008B3E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F631B87" w14:textId="744AFC90" w:rsidR="00EE7F15" w:rsidRPr="00EE7F15" w:rsidRDefault="00EE7F15" w:rsidP="00EE7F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EE7F15">
        <w:rPr>
          <w:rFonts w:asciiTheme="majorBidi" w:hAnsiTheme="majorBidi" w:cstheme="majorBidi"/>
          <w:i/>
          <w:iCs/>
          <w:sz w:val="28"/>
          <w:szCs w:val="28"/>
        </w:rPr>
        <w:t>Breitbart Study Ratio</w:t>
      </w:r>
    </w:p>
    <w:p w14:paraId="7AEE3EED" w14:textId="7BC80457" w:rsidR="0082265B" w:rsidRDefault="00EE7F15" w:rsidP="00EE7F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E7F15">
        <w:rPr>
          <w:rFonts w:asciiTheme="majorBidi" w:hAnsiTheme="majorBidi" w:cstheme="majorBidi"/>
          <w:sz w:val="28"/>
          <w:szCs w:val="28"/>
        </w:rPr>
        <w:t>The conversion ratio of 2 mg oral morphine to 1 mcg/hour transdermal fentanyl will be used for the calculation.</w:t>
      </w:r>
    </w:p>
    <w:p w14:paraId="435B6A54" w14:textId="564551CE" w:rsidR="00EE7F15" w:rsidRPr="00B72695" w:rsidRDefault="00A51D5F" w:rsidP="00EE7F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“X” mg total daily dose of new opioid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100 mcg/hour transdermal fentanyl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2 mg oral morphine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1 mcg/hour transdermal fentanyl</m:t>
              </m:r>
            </m:den>
          </m:f>
        </m:oMath>
      </m:oMathPara>
    </w:p>
    <w:p w14:paraId="14AEFC14" w14:textId="5849F798" w:rsidR="00561A63" w:rsidRPr="00561A63" w:rsidRDefault="00561A63" w:rsidP="00561A6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61A63">
        <w:rPr>
          <w:rFonts w:asciiTheme="majorBidi" w:hAnsiTheme="majorBidi" w:cstheme="majorBidi"/>
          <w:sz w:val="28"/>
          <w:szCs w:val="28"/>
        </w:rPr>
        <w:t>(1)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1A63">
        <w:rPr>
          <w:rFonts w:asciiTheme="majorBidi" w:hAnsiTheme="majorBidi" w:cstheme="majorBidi"/>
          <w:sz w:val="28"/>
          <w:szCs w:val="28"/>
        </w:rPr>
        <w:t>(X) = (2)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1A63">
        <w:rPr>
          <w:rFonts w:asciiTheme="majorBidi" w:hAnsiTheme="majorBidi" w:cstheme="majorBidi"/>
          <w:sz w:val="28"/>
          <w:szCs w:val="28"/>
        </w:rPr>
        <w:t>(100)</w:t>
      </w:r>
    </w:p>
    <w:p w14:paraId="180950A7" w14:textId="77777777" w:rsidR="00561A63" w:rsidRPr="00561A63" w:rsidRDefault="00561A63" w:rsidP="00561A6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61A63">
        <w:rPr>
          <w:rFonts w:asciiTheme="majorBidi" w:hAnsiTheme="majorBidi" w:cstheme="majorBidi"/>
          <w:sz w:val="28"/>
          <w:szCs w:val="28"/>
        </w:rPr>
        <w:t>X = 200 mg/day oral morphine</w:t>
      </w:r>
    </w:p>
    <w:p w14:paraId="2648A8DD" w14:textId="6920323C" w:rsidR="000A5815" w:rsidRDefault="00561A63" w:rsidP="00561A6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61A63">
        <w:rPr>
          <w:rFonts w:asciiTheme="majorBidi" w:hAnsiTheme="majorBidi" w:cstheme="majorBidi"/>
          <w:sz w:val="28"/>
          <w:szCs w:val="28"/>
        </w:rPr>
        <w:t>Therefore, the total d</w:t>
      </w:r>
      <w:r w:rsidR="003864C2">
        <w:rPr>
          <w:rFonts w:asciiTheme="majorBidi" w:hAnsiTheme="majorBidi" w:cstheme="majorBidi"/>
          <w:sz w:val="28"/>
          <w:szCs w:val="28"/>
        </w:rPr>
        <w:t>aily dose of oral morphine is 35</w:t>
      </w:r>
      <w:r w:rsidRPr="00561A63">
        <w:rPr>
          <w:rFonts w:asciiTheme="majorBidi" w:hAnsiTheme="majorBidi" w:cstheme="majorBidi"/>
          <w:sz w:val="28"/>
          <w:szCs w:val="28"/>
        </w:rPr>
        <w:t>0 mg (200 mg + 150 mg)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222F5CE6" w14:textId="0E0BA798" w:rsidR="008B3EBC" w:rsidRDefault="008B3EBC" w:rsidP="008B3E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02922FF" w14:textId="753073FD" w:rsidR="008B3EBC" w:rsidRDefault="008B3EBC" w:rsidP="008B3E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D481D62" w14:textId="242E1ED5" w:rsidR="008B3EBC" w:rsidRDefault="008B3EBC" w:rsidP="008B3E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012340F" w14:textId="77777777" w:rsidR="00561A63" w:rsidRPr="00561A63" w:rsidRDefault="00561A63" w:rsidP="00561A6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61A63">
        <w:rPr>
          <w:rFonts w:asciiTheme="majorBidi" w:hAnsiTheme="majorBidi" w:cstheme="majorBidi"/>
          <w:b/>
          <w:bCs/>
          <w:sz w:val="28"/>
          <w:szCs w:val="28"/>
        </w:rPr>
        <w:lastRenderedPageBreak/>
        <w:t>Step 2:</w:t>
      </w:r>
    </w:p>
    <w:p w14:paraId="47E4B276" w14:textId="04109BED" w:rsidR="00561A63" w:rsidRPr="00561A63" w:rsidRDefault="00561A63" w:rsidP="00561A6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61A63">
        <w:rPr>
          <w:rFonts w:asciiTheme="majorBidi" w:hAnsiTheme="majorBidi" w:cstheme="majorBidi"/>
          <w:sz w:val="28"/>
          <w:szCs w:val="28"/>
        </w:rPr>
        <w:t>Select the equianalgesic dose ratio from the methadone table that corresponds to a total daily morphine use of 390 mg (using the Donner method in step 1).</w:t>
      </w:r>
    </w:p>
    <w:p w14:paraId="24AAF7F0" w14:textId="580DC2A3" w:rsidR="00561A63" w:rsidRDefault="00561A63" w:rsidP="00561A6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61A63">
        <w:rPr>
          <w:rFonts w:asciiTheme="majorBidi" w:hAnsiTheme="majorBidi" w:cstheme="majorBidi"/>
          <w:sz w:val="28"/>
          <w:szCs w:val="28"/>
        </w:rPr>
        <w:t>Accordi</w:t>
      </w:r>
      <w:r>
        <w:rPr>
          <w:rFonts w:asciiTheme="majorBidi" w:hAnsiTheme="majorBidi" w:cstheme="majorBidi"/>
          <w:sz w:val="28"/>
          <w:szCs w:val="28"/>
        </w:rPr>
        <w:t>ng to the methadone dose Table 5-3</w:t>
      </w:r>
      <w:r w:rsidRPr="00561A63">
        <w:rPr>
          <w:rFonts w:asciiTheme="majorBidi" w:hAnsiTheme="majorBidi" w:cstheme="majorBidi"/>
          <w:sz w:val="28"/>
          <w:szCs w:val="28"/>
        </w:rPr>
        <w:t>, morphine doses in the range of 301–600 mg correspond to a 10:1 ratio (oral morphine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1A63">
        <w:rPr>
          <w:rFonts w:asciiTheme="majorBidi" w:hAnsiTheme="majorBidi" w:cstheme="majorBidi"/>
          <w:sz w:val="28"/>
          <w:szCs w:val="28"/>
        </w:rPr>
        <w:t>oral methadone).</w:t>
      </w:r>
    </w:p>
    <w:p w14:paraId="22F0C241" w14:textId="42DA25C1" w:rsidR="00561A63" w:rsidRDefault="00A51D5F" w:rsidP="006B199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 xml:space="preserve">“X” mg total daily dose oral </m:t>
              </m:r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methadone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390 mg total daily dose oral morphine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1 mg oral methadone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10 mg oral morphine</m:t>
              </m:r>
            </m:den>
          </m:f>
        </m:oMath>
      </m:oMathPara>
    </w:p>
    <w:p w14:paraId="48B834AE" w14:textId="481F7D09" w:rsidR="00561A63" w:rsidRPr="00561A63" w:rsidRDefault="00561A63" w:rsidP="00561A6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61A63">
        <w:rPr>
          <w:rFonts w:asciiTheme="majorBidi" w:hAnsiTheme="majorBidi" w:cstheme="majorBidi"/>
          <w:sz w:val="28"/>
          <w:szCs w:val="28"/>
        </w:rPr>
        <w:t>(10)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1A63">
        <w:rPr>
          <w:rFonts w:asciiTheme="majorBidi" w:hAnsiTheme="majorBidi" w:cstheme="majorBidi"/>
          <w:sz w:val="28"/>
          <w:szCs w:val="28"/>
        </w:rPr>
        <w:t>(X) = (390)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61A63">
        <w:rPr>
          <w:rFonts w:asciiTheme="majorBidi" w:hAnsiTheme="majorBidi" w:cstheme="majorBidi"/>
          <w:sz w:val="28"/>
          <w:szCs w:val="28"/>
        </w:rPr>
        <w:t>(1)</w:t>
      </w:r>
    </w:p>
    <w:p w14:paraId="5DC9D23F" w14:textId="77777777" w:rsidR="00561A63" w:rsidRPr="00561A63" w:rsidRDefault="00561A63" w:rsidP="00561A6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61A63">
        <w:rPr>
          <w:rFonts w:asciiTheme="majorBidi" w:hAnsiTheme="majorBidi" w:cstheme="majorBidi"/>
          <w:sz w:val="28"/>
          <w:szCs w:val="28"/>
        </w:rPr>
        <w:t>10X = 390</w:t>
      </w:r>
    </w:p>
    <w:p w14:paraId="2293AF54" w14:textId="77777777" w:rsidR="00561A63" w:rsidRPr="00561A63" w:rsidRDefault="00561A63" w:rsidP="00561A6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61A63">
        <w:rPr>
          <w:rFonts w:asciiTheme="majorBidi" w:hAnsiTheme="majorBidi" w:cstheme="majorBidi"/>
          <w:sz w:val="28"/>
          <w:szCs w:val="28"/>
        </w:rPr>
        <w:t>X = 39 mg of oral methadone/day</w:t>
      </w:r>
    </w:p>
    <w:p w14:paraId="6B3CFEBA" w14:textId="13C4DAD4" w:rsidR="00F61100" w:rsidRDefault="003864C2" w:rsidP="00561A6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If the total daily dose of 35</w:t>
      </w:r>
      <w:r w:rsidR="00561A63" w:rsidRPr="00561A63">
        <w:rPr>
          <w:rFonts w:asciiTheme="majorBidi" w:hAnsiTheme="majorBidi" w:cstheme="majorBidi"/>
          <w:sz w:val="28"/>
          <w:szCs w:val="28"/>
        </w:rPr>
        <w:t>0 mg oral morphine is used for the calculation, the total dai</w:t>
      </w:r>
      <w:r>
        <w:rPr>
          <w:rFonts w:asciiTheme="majorBidi" w:hAnsiTheme="majorBidi" w:cstheme="majorBidi"/>
          <w:sz w:val="28"/>
          <w:szCs w:val="28"/>
        </w:rPr>
        <w:t>ly dose of methadone would be 35</w:t>
      </w:r>
      <w:r w:rsidR="00561A63" w:rsidRPr="00561A63">
        <w:rPr>
          <w:rFonts w:asciiTheme="majorBidi" w:hAnsiTheme="majorBidi" w:cstheme="majorBidi"/>
          <w:sz w:val="28"/>
          <w:szCs w:val="28"/>
        </w:rPr>
        <w:t xml:space="preserve"> mg.</w:t>
      </w:r>
    </w:p>
    <w:p w14:paraId="1986EE5F" w14:textId="77777777" w:rsidR="00F61100" w:rsidRDefault="00F61100" w:rsidP="00F61100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bookmarkEnd w:id="0"/>
    </w:p>
    <w:p w14:paraId="04A40E9B" w14:textId="60388B41" w:rsidR="00F61100" w:rsidRDefault="00F61100" w:rsidP="00F61100">
      <w:pPr>
        <w:tabs>
          <w:tab w:val="left" w:pos="5944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>Patient Case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ab/>
      </w:r>
    </w:p>
    <w:p w14:paraId="24D10A28" w14:textId="28860CE2" w:rsidR="00F61100" w:rsidRDefault="00F61100" w:rsidP="00F611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</w:t>
      </w:r>
      <w:r w:rsidRPr="007D65DB">
        <w:rPr>
          <w:rFonts w:ascii="Times New Roman" w:hAnsi="Times New Roman" w:cs="Times New Roman"/>
          <w:sz w:val="28"/>
          <w:szCs w:val="28"/>
        </w:rPr>
        <w:t xml:space="preserve">atient </w:t>
      </w:r>
      <w:r>
        <w:rPr>
          <w:rFonts w:ascii="Times New Roman" w:hAnsi="Times New Roman" w:cs="Times New Roman"/>
          <w:sz w:val="28"/>
          <w:szCs w:val="28"/>
        </w:rPr>
        <w:t xml:space="preserve">has metastatic cancer, was on morphine sulphate </w:t>
      </w:r>
      <w:r w:rsidR="00D5505B">
        <w:rPr>
          <w:rFonts w:ascii="Times New Roman" w:hAnsi="Times New Roman" w:cs="Times New Roman"/>
          <w:sz w:val="28"/>
          <w:szCs w:val="28"/>
        </w:rPr>
        <w:t xml:space="preserve">60 mg </w:t>
      </w:r>
      <w:r>
        <w:rPr>
          <w:rFonts w:ascii="Times New Roman" w:hAnsi="Times New Roman" w:cs="Times New Roman"/>
          <w:sz w:val="28"/>
          <w:szCs w:val="28"/>
        </w:rPr>
        <w:t xml:space="preserve">q4h, his physician called </w:t>
      </w:r>
      <w:r w:rsidR="00D5505B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hospital pharmacist asking him about </w:t>
      </w:r>
      <w:r w:rsidR="00D5505B">
        <w:rPr>
          <w:rFonts w:ascii="Times New Roman" w:hAnsi="Times New Roman" w:cs="Times New Roman"/>
          <w:sz w:val="28"/>
          <w:szCs w:val="28"/>
        </w:rPr>
        <w:t xml:space="preserve">how to convert it to the </w:t>
      </w:r>
      <w:r>
        <w:rPr>
          <w:rFonts w:ascii="Times New Roman" w:hAnsi="Times New Roman" w:cs="Times New Roman"/>
          <w:sz w:val="28"/>
          <w:szCs w:val="28"/>
        </w:rPr>
        <w:t>appropriate daily dose of oxycodone.</w:t>
      </w:r>
    </w:p>
    <w:p w14:paraId="027F5CB4" w14:textId="18619CC2" w:rsidR="00F61100" w:rsidRDefault="00F61100" w:rsidP="00F611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mg of morphine sulphate = 20 mg of oxycodone</w:t>
      </w:r>
    </w:p>
    <w:p w14:paraId="73C78DF9" w14:textId="77777777" w:rsidR="008B3EBC" w:rsidRDefault="008B3EBC" w:rsidP="008B3E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41365" w14:textId="17B24134" w:rsidR="00F61100" w:rsidRPr="009828C6" w:rsidRDefault="008B3EBC" w:rsidP="00F611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Answer:</w:t>
      </w:r>
    </w:p>
    <w:p w14:paraId="7C38F7C3" w14:textId="421CCAF9" w:rsidR="00F61100" w:rsidRDefault="00F61100" w:rsidP="00F611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Morphine 60 mg </w:t>
      </w:r>
      <w:r w:rsidRPr="00846FFE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6 = 360 mg/day</w:t>
      </w:r>
    </w:p>
    <w:p w14:paraId="4DB9763F" w14:textId="77777777" w:rsidR="009E7DC2" w:rsidRPr="009E7DC2" w:rsidRDefault="009E7DC2" w:rsidP="009E7DC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9E7DC2">
        <w:rPr>
          <w:rFonts w:ascii="Times New Roman" w:hAnsi="Times New Roman" w:cs="Times New Roman"/>
          <w:sz w:val="28"/>
          <w:szCs w:val="28"/>
        </w:rPr>
        <w:t>Because of tolerance (25 % - 50 %)</w:t>
      </w:r>
    </w:p>
    <w:p w14:paraId="65A382C7" w14:textId="06AA419E" w:rsidR="009E7DC2" w:rsidRDefault="009E7DC2" w:rsidP="009E7DC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So, the actual dose of morphine is 180 mg</w:t>
      </w:r>
      <w:r w:rsidRPr="009E7DC2">
        <w:rPr>
          <w:rFonts w:ascii="Times New Roman" w:hAnsi="Times New Roman" w:cs="Times New Roman"/>
          <w:sz w:val="28"/>
          <w:szCs w:val="28"/>
        </w:rPr>
        <w:t>/day (if we choose 50 % tolerance)</w:t>
      </w:r>
    </w:p>
    <w:p w14:paraId="3085DE2A" w14:textId="4EF53862" w:rsidR="00F61100" w:rsidRDefault="00F61100" w:rsidP="009E7DC2">
      <w:pPr>
        <w:bidi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mg morphine/</w:t>
      </w:r>
      <w:r w:rsidR="009E7DC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0 mg morphine = 20 mg </w:t>
      </w:r>
      <w:r w:rsidRPr="00C44DB6">
        <w:rPr>
          <w:rFonts w:ascii="Times New Roman" w:hAnsi="Times New Roman" w:cs="Times New Roman"/>
          <w:sz w:val="28"/>
          <w:szCs w:val="28"/>
        </w:rPr>
        <w:t>oxycodone</w:t>
      </w:r>
      <w:r>
        <w:rPr>
          <w:rFonts w:ascii="Times New Roman" w:hAnsi="Times New Roman" w:cs="Times New Roman"/>
          <w:sz w:val="28"/>
          <w:szCs w:val="28"/>
        </w:rPr>
        <w:t>/X</w:t>
      </w:r>
    </w:p>
    <w:p w14:paraId="1AA8C182" w14:textId="4A8B1FAC" w:rsidR="00F61100" w:rsidRDefault="00F61100" w:rsidP="009E7DC2">
      <w:pPr>
        <w:bidi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 = </w:t>
      </w:r>
      <w:r w:rsidR="009E7DC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0 mg of oxycodone/day</w:t>
      </w:r>
    </w:p>
    <w:p w14:paraId="2597A123" w14:textId="77777777" w:rsidR="00F61100" w:rsidRDefault="00F61100" w:rsidP="00F61100">
      <w:pPr>
        <w:bidi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450D7DE0" w14:textId="77777777" w:rsidR="00F61100" w:rsidRPr="009E7DC2" w:rsidRDefault="00F61100" w:rsidP="00F611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9E7DC2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Homework</w:t>
      </w:r>
    </w:p>
    <w:p w14:paraId="31A2E320" w14:textId="6B7DF53C" w:rsidR="00F61100" w:rsidRDefault="00D5505B" w:rsidP="009E7DC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</w:t>
      </w:r>
      <w:r w:rsidR="00F61100" w:rsidRPr="007D65DB">
        <w:rPr>
          <w:rFonts w:ascii="Times New Roman" w:hAnsi="Times New Roman" w:cs="Times New Roman"/>
          <w:sz w:val="28"/>
          <w:szCs w:val="28"/>
        </w:rPr>
        <w:t xml:space="preserve">atient </w:t>
      </w:r>
      <w:r w:rsidR="00F61100">
        <w:rPr>
          <w:rFonts w:ascii="Times New Roman" w:hAnsi="Times New Roman" w:cs="Times New Roman"/>
          <w:sz w:val="28"/>
          <w:szCs w:val="28"/>
        </w:rPr>
        <w:t>is on morphine I.V. 15 mg q4h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1100">
        <w:rPr>
          <w:rFonts w:ascii="Times New Roman" w:hAnsi="Times New Roman" w:cs="Times New Roman"/>
          <w:sz w:val="28"/>
          <w:szCs w:val="28"/>
        </w:rPr>
        <w:t xml:space="preserve"> </w:t>
      </w:r>
      <w:r w:rsidR="009E7DC2">
        <w:rPr>
          <w:rFonts w:ascii="Times New Roman" w:hAnsi="Times New Roman" w:cs="Times New Roman"/>
          <w:sz w:val="28"/>
          <w:szCs w:val="28"/>
        </w:rPr>
        <w:t>The do</w:t>
      </w:r>
      <w:r w:rsidR="00F61100">
        <w:rPr>
          <w:rFonts w:ascii="Times New Roman" w:hAnsi="Times New Roman" w:cs="Times New Roman"/>
          <w:sz w:val="28"/>
          <w:szCs w:val="28"/>
        </w:rPr>
        <w:t xml:space="preserve">ctor wants </w:t>
      </w:r>
      <w:r w:rsidR="009E7DC2">
        <w:rPr>
          <w:rFonts w:ascii="Times New Roman" w:hAnsi="Times New Roman" w:cs="Times New Roman"/>
          <w:sz w:val="28"/>
          <w:szCs w:val="28"/>
        </w:rPr>
        <w:t>to switch him to SR tablet form. I</w:t>
      </w:r>
      <w:r w:rsidR="00F61100">
        <w:rPr>
          <w:rFonts w:ascii="Times New Roman" w:hAnsi="Times New Roman" w:cs="Times New Roman"/>
          <w:sz w:val="28"/>
          <w:szCs w:val="28"/>
        </w:rPr>
        <w:t>f you know that the equivalent dose</w:t>
      </w:r>
      <w:r w:rsidR="009E7DC2">
        <w:rPr>
          <w:rFonts w:ascii="Times New Roman" w:hAnsi="Times New Roman" w:cs="Times New Roman"/>
          <w:sz w:val="28"/>
          <w:szCs w:val="28"/>
        </w:rPr>
        <w:t xml:space="preserve"> of morphine 30 mg is:</w:t>
      </w:r>
      <w:r w:rsidR="00F61100">
        <w:rPr>
          <w:rFonts w:ascii="Times New Roman" w:hAnsi="Times New Roman" w:cs="Times New Roman"/>
          <w:sz w:val="28"/>
          <w:szCs w:val="28"/>
        </w:rPr>
        <w:t xml:space="preserve"> </w:t>
      </w:r>
      <w:r w:rsidR="00F61100" w:rsidRPr="00C32C5E">
        <w:rPr>
          <w:rFonts w:ascii="Times New Roman" w:hAnsi="Times New Roman" w:cs="Times New Roman"/>
          <w:sz w:val="28"/>
          <w:szCs w:val="28"/>
        </w:rPr>
        <w:t xml:space="preserve">oxycodone </w:t>
      </w:r>
      <w:r w:rsidR="00F61100">
        <w:rPr>
          <w:rFonts w:ascii="Times New Roman" w:hAnsi="Times New Roman" w:cs="Times New Roman"/>
          <w:sz w:val="28"/>
          <w:szCs w:val="28"/>
        </w:rPr>
        <w:t>6 mg, codei</w:t>
      </w:r>
      <w:r w:rsidR="009E7DC2">
        <w:rPr>
          <w:rFonts w:ascii="Times New Roman" w:hAnsi="Times New Roman" w:cs="Times New Roman"/>
          <w:sz w:val="28"/>
          <w:szCs w:val="28"/>
        </w:rPr>
        <w:t>ne 200 mg, hydromorphone 100 mg;</w:t>
      </w:r>
      <w:r w:rsidR="00F61100">
        <w:rPr>
          <w:rFonts w:ascii="Times New Roman" w:hAnsi="Times New Roman" w:cs="Times New Roman"/>
          <w:sz w:val="28"/>
          <w:szCs w:val="28"/>
        </w:rPr>
        <w:t xml:space="preserve"> what will be the suitable choice? (hint: consider percent of tolerance = 34 %)</w:t>
      </w:r>
    </w:p>
    <w:p w14:paraId="50F019EA" w14:textId="77777777" w:rsidR="00F61100" w:rsidRDefault="00F61100" w:rsidP="00F611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a- 300 mg of codeine q12h</w:t>
      </w:r>
    </w:p>
    <w:p w14:paraId="261F174D" w14:textId="77777777" w:rsidR="00F61100" w:rsidRDefault="00F61100" w:rsidP="00F61100">
      <w:pPr>
        <w:autoSpaceDE w:val="0"/>
        <w:autoSpaceDN w:val="0"/>
        <w:bidi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b</w:t>
      </w:r>
      <w:r w:rsidRPr="00F40A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60 mg </w:t>
      </w:r>
      <w:r w:rsidRPr="00F40A2A">
        <w:rPr>
          <w:rFonts w:ascii="Times New Roman" w:hAnsi="Times New Roman" w:cs="Times New Roman"/>
          <w:sz w:val="28"/>
          <w:szCs w:val="28"/>
        </w:rPr>
        <w:t>morphine q12h</w:t>
      </w:r>
      <w:r w:rsidRPr="00F40A2A">
        <w:t xml:space="preserve"> </w:t>
      </w:r>
    </w:p>
    <w:p w14:paraId="11CDB107" w14:textId="77777777" w:rsidR="00F61100" w:rsidRPr="00F40A2A" w:rsidRDefault="00F61100" w:rsidP="00F611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F40A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40A2A">
        <w:rPr>
          <w:rFonts w:ascii="Times New Roman" w:hAnsi="Times New Roman" w:cs="Times New Roman"/>
          <w:sz w:val="28"/>
          <w:szCs w:val="28"/>
        </w:rPr>
        <w:t xml:space="preserve"> mg oxycodone</w:t>
      </w:r>
      <w:r w:rsidRPr="00F40A2A">
        <w:t xml:space="preserve"> </w:t>
      </w:r>
      <w:r w:rsidRPr="00F40A2A">
        <w:rPr>
          <w:rFonts w:ascii="Times New Roman" w:hAnsi="Times New Roman" w:cs="Times New Roman"/>
          <w:sz w:val="28"/>
          <w:szCs w:val="28"/>
        </w:rPr>
        <w:t>q12h</w:t>
      </w:r>
    </w:p>
    <w:p w14:paraId="1B0D1B08" w14:textId="77777777" w:rsidR="00F61100" w:rsidRPr="00C44DB6" w:rsidRDefault="00F61100" w:rsidP="00F61100">
      <w:pPr>
        <w:bidi w:val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F40A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100 mg </w:t>
      </w:r>
      <w:r w:rsidRPr="00F40A2A">
        <w:rPr>
          <w:rFonts w:ascii="Times New Roman" w:hAnsi="Times New Roman" w:cs="Times New Roman"/>
          <w:sz w:val="28"/>
          <w:szCs w:val="28"/>
        </w:rPr>
        <w:t>hydromorphone q12h</w:t>
      </w:r>
    </w:p>
    <w:p w14:paraId="0CA40870" w14:textId="77777777" w:rsidR="00561A63" w:rsidRPr="00F61100" w:rsidRDefault="00561A63" w:rsidP="00F61100">
      <w:pPr>
        <w:bidi w:val="0"/>
        <w:rPr>
          <w:rFonts w:asciiTheme="majorBidi" w:hAnsiTheme="majorBidi" w:cstheme="majorBidi"/>
          <w:sz w:val="28"/>
          <w:szCs w:val="28"/>
          <w:rtl/>
        </w:rPr>
      </w:pPr>
    </w:p>
    <w:sectPr w:rsidR="00561A63" w:rsidRPr="00F61100" w:rsidSect="00343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ECA89" w14:textId="77777777" w:rsidR="00A51D5F" w:rsidRDefault="00A51D5F" w:rsidP="00445810">
      <w:pPr>
        <w:spacing w:after="0" w:line="240" w:lineRule="auto"/>
      </w:pPr>
      <w:r>
        <w:separator/>
      </w:r>
    </w:p>
  </w:endnote>
  <w:endnote w:type="continuationSeparator" w:id="0">
    <w:p w14:paraId="1BF30323" w14:textId="77777777" w:rsidR="00A51D5F" w:rsidRDefault="00A51D5F" w:rsidP="0044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nteMT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4DEF2" w14:textId="77777777" w:rsidR="00A51D5F" w:rsidRDefault="00A51D5F" w:rsidP="00445810">
      <w:pPr>
        <w:spacing w:after="0" w:line="240" w:lineRule="auto"/>
      </w:pPr>
      <w:r>
        <w:separator/>
      </w:r>
    </w:p>
  </w:footnote>
  <w:footnote w:type="continuationSeparator" w:id="0">
    <w:p w14:paraId="637A1DA2" w14:textId="77777777" w:rsidR="00A51D5F" w:rsidRDefault="00A51D5F" w:rsidP="0044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3B0"/>
    <w:multiLevelType w:val="hybridMultilevel"/>
    <w:tmpl w:val="67C69B58"/>
    <w:lvl w:ilvl="0" w:tplc="2438BC48">
      <w:start w:val="199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7346"/>
    <w:multiLevelType w:val="hybridMultilevel"/>
    <w:tmpl w:val="2BF6D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7BA"/>
    <w:multiLevelType w:val="hybridMultilevel"/>
    <w:tmpl w:val="C4626080"/>
    <w:lvl w:ilvl="0" w:tplc="2438BC48">
      <w:start w:val="200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24740"/>
    <w:multiLevelType w:val="hybridMultilevel"/>
    <w:tmpl w:val="4E743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1859F5"/>
    <w:multiLevelType w:val="hybridMultilevel"/>
    <w:tmpl w:val="93440F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563100"/>
    <w:multiLevelType w:val="hybridMultilevel"/>
    <w:tmpl w:val="04A4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47D7A"/>
    <w:multiLevelType w:val="hybridMultilevel"/>
    <w:tmpl w:val="F65EF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89558E"/>
    <w:multiLevelType w:val="hybridMultilevel"/>
    <w:tmpl w:val="06A8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46BCE"/>
    <w:multiLevelType w:val="hybridMultilevel"/>
    <w:tmpl w:val="AD1A6900"/>
    <w:lvl w:ilvl="0" w:tplc="B5645C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45A73"/>
    <w:multiLevelType w:val="hybridMultilevel"/>
    <w:tmpl w:val="59C65F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D23135"/>
    <w:multiLevelType w:val="hybridMultilevel"/>
    <w:tmpl w:val="0D7A4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396553"/>
    <w:multiLevelType w:val="hybridMultilevel"/>
    <w:tmpl w:val="CAAA8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C8175B"/>
    <w:multiLevelType w:val="hybridMultilevel"/>
    <w:tmpl w:val="8408A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A5"/>
    <w:rsid w:val="0008650A"/>
    <w:rsid w:val="000A5815"/>
    <w:rsid w:val="001045E6"/>
    <w:rsid w:val="001473FF"/>
    <w:rsid w:val="0015520C"/>
    <w:rsid w:val="001C7385"/>
    <w:rsid w:val="00230BBE"/>
    <w:rsid w:val="002A156A"/>
    <w:rsid w:val="002B5772"/>
    <w:rsid w:val="002C5DE9"/>
    <w:rsid w:val="00343BBA"/>
    <w:rsid w:val="00374603"/>
    <w:rsid w:val="003864C2"/>
    <w:rsid w:val="003E665B"/>
    <w:rsid w:val="00445810"/>
    <w:rsid w:val="00453282"/>
    <w:rsid w:val="00561A63"/>
    <w:rsid w:val="00577F01"/>
    <w:rsid w:val="00584785"/>
    <w:rsid w:val="005879D8"/>
    <w:rsid w:val="005B6B6A"/>
    <w:rsid w:val="00637B24"/>
    <w:rsid w:val="006B199E"/>
    <w:rsid w:val="006B2B1C"/>
    <w:rsid w:val="00732AA3"/>
    <w:rsid w:val="00747F59"/>
    <w:rsid w:val="007512FC"/>
    <w:rsid w:val="00756AA1"/>
    <w:rsid w:val="007B08CF"/>
    <w:rsid w:val="007B6089"/>
    <w:rsid w:val="007C4F87"/>
    <w:rsid w:val="007D0A32"/>
    <w:rsid w:val="007E2552"/>
    <w:rsid w:val="007F1D4F"/>
    <w:rsid w:val="0082265B"/>
    <w:rsid w:val="00863B11"/>
    <w:rsid w:val="00865C1B"/>
    <w:rsid w:val="00885084"/>
    <w:rsid w:val="008B3EBC"/>
    <w:rsid w:val="009345A9"/>
    <w:rsid w:val="00936957"/>
    <w:rsid w:val="009419A5"/>
    <w:rsid w:val="00952C3A"/>
    <w:rsid w:val="009D63F6"/>
    <w:rsid w:val="009E7DC2"/>
    <w:rsid w:val="00A16229"/>
    <w:rsid w:val="00A3422F"/>
    <w:rsid w:val="00A46ED6"/>
    <w:rsid w:val="00A51D5F"/>
    <w:rsid w:val="00A63100"/>
    <w:rsid w:val="00A762EB"/>
    <w:rsid w:val="00B72695"/>
    <w:rsid w:val="00B760E0"/>
    <w:rsid w:val="00B81F11"/>
    <w:rsid w:val="00BB1143"/>
    <w:rsid w:val="00BF7E95"/>
    <w:rsid w:val="00C65DCA"/>
    <w:rsid w:val="00C8009C"/>
    <w:rsid w:val="00CE4A28"/>
    <w:rsid w:val="00CE68A0"/>
    <w:rsid w:val="00D5505B"/>
    <w:rsid w:val="00D70E6C"/>
    <w:rsid w:val="00EE7F15"/>
    <w:rsid w:val="00EF2165"/>
    <w:rsid w:val="00F141BC"/>
    <w:rsid w:val="00F32948"/>
    <w:rsid w:val="00F376B4"/>
    <w:rsid w:val="00F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351B"/>
  <w15:docId w15:val="{01239C93-0A38-4133-B91D-3FA098E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0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810"/>
  </w:style>
  <w:style w:type="paragraph" w:styleId="Footer">
    <w:name w:val="footer"/>
    <w:basedOn w:val="Normal"/>
    <w:link w:val="FooterChar"/>
    <w:uiPriority w:val="99"/>
    <w:unhideWhenUsed/>
    <w:rsid w:val="0044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810"/>
  </w:style>
  <w:style w:type="table" w:styleId="TableGrid">
    <w:name w:val="Table Grid"/>
    <w:basedOn w:val="TableNormal"/>
    <w:uiPriority w:val="59"/>
    <w:rsid w:val="00CE4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hp-aufoaq</dc:creator>
  <cp:lastModifiedBy>haider raheem</cp:lastModifiedBy>
  <cp:revision>30</cp:revision>
  <cp:lastPrinted>2015-02-14T12:07:00Z</cp:lastPrinted>
  <dcterms:created xsi:type="dcterms:W3CDTF">2015-02-10T17:23:00Z</dcterms:created>
  <dcterms:modified xsi:type="dcterms:W3CDTF">2022-12-02T07:07:00Z</dcterms:modified>
</cp:coreProperties>
</file>