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281"/>
        <w:bidiVisual/>
        <w:tblW w:w="22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E0566E" w:rsidRPr="0045125D" w:rsidTr="0045125D">
        <w:trPr>
          <w:trHeight w:val="664"/>
        </w:trPr>
        <w:tc>
          <w:tcPr>
            <w:tcW w:w="2268" w:type="dxa"/>
            <w:shd w:val="clear" w:color="auto" w:fill="auto"/>
          </w:tcPr>
          <w:p w:rsidR="00E0566E" w:rsidRPr="0045125D" w:rsidRDefault="00E0566E" w:rsidP="0045125D">
            <w:pPr>
              <w:pBdr>
                <w:top w:val="single" w:sz="24" w:space="1" w:color="auto"/>
                <w:left w:val="single" w:sz="24" w:space="4" w:color="auto"/>
                <w:bottom w:val="single" w:sz="24" w:space="1" w:color="auto"/>
                <w:right w:val="single" w:sz="24" w:space="4" w:color="auto"/>
              </w:pBdr>
              <w:tabs>
                <w:tab w:val="right" w:pos="2124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5125D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صيدلة سريرية</w:t>
            </w:r>
          </w:p>
          <w:p w:rsidR="00E0566E" w:rsidRPr="0045125D" w:rsidRDefault="00E0566E" w:rsidP="0045125D">
            <w:pPr>
              <w:pBdr>
                <w:top w:val="single" w:sz="24" w:space="1" w:color="auto"/>
                <w:left w:val="single" w:sz="24" w:space="4" w:color="auto"/>
                <w:bottom w:val="single" w:sz="24" w:space="1" w:color="auto"/>
                <w:right w:val="single" w:sz="24" w:space="4" w:color="auto"/>
              </w:pBdr>
              <w:tabs>
                <w:tab w:val="right" w:pos="2124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45125D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د. ضياء جبا</w:t>
            </w:r>
            <w:r w:rsidRPr="0045125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bidi="ar-IQ"/>
              </w:rPr>
              <w:t>ر</w:t>
            </w:r>
          </w:p>
        </w:tc>
      </w:tr>
    </w:tbl>
    <w:p w:rsidR="00E0566E" w:rsidRPr="0045125D" w:rsidRDefault="0045125D" w:rsidP="0045125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  </w:t>
      </w:r>
      <w:r w:rsidR="00A14EA8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45125D" w:rsidP="0045125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 xml:space="preserve">                </w:t>
      </w:r>
      <w:r w:rsidR="00A14EA8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 xml:space="preserve">  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E0566E" w:rsidRPr="006476C0" w:rsidRDefault="0045125D" w:rsidP="006476C0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6476C0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              </w:t>
      </w:r>
      <w:r w:rsidR="006476C0" w:rsidRPr="006476C0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Endocrine </w:t>
      </w:r>
      <w:r w:rsidR="00E0566E" w:rsidRPr="006476C0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disorders</w:t>
      </w:r>
    </w:p>
    <w:p w:rsidR="00E0566E" w:rsidRPr="006476C0" w:rsidRDefault="0045125D" w:rsidP="006476C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  <w:lang w:bidi="ar-IQ"/>
        </w:rPr>
      </w:pPr>
      <w:r w:rsidRPr="006476C0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              </w:t>
      </w:r>
      <w:r w:rsidR="006476C0" w:rsidRPr="006476C0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>Diabetes Mellitus</w:t>
      </w:r>
      <w:r w:rsidRPr="006476C0">
        <w:rPr>
          <w:rFonts w:asciiTheme="majorBidi" w:eastAsia="Times New Roman" w:hAnsiTheme="majorBidi" w:cstheme="majorBidi" w:hint="cs"/>
          <w:b/>
          <w:bCs/>
          <w:color w:val="0000FF"/>
          <w:sz w:val="32"/>
          <w:szCs w:val="32"/>
          <w:rtl/>
          <w:lang w:bidi="ar-IQ"/>
        </w:rPr>
        <w:t xml:space="preserve">   </w:t>
      </w:r>
    </w:p>
    <w:p w:rsidR="006476C0" w:rsidRPr="00C60670" w:rsidRDefault="006476C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α-</w:t>
      </w:r>
      <w:proofErr w:type="spellStart"/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Glucosidase</w:t>
      </w:r>
      <w:proofErr w:type="spellEnd"/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Inhibitors</w:t>
      </w:r>
    </w:p>
    <w:p w:rsidR="006476C0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Acarbose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proofErr w:type="spellStart"/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miglitol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delay the breakdown of sucrose and complex carbohydrates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in the small intestine, prolonging carbohydrate absorption.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FF6119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Good candidates for these drugs are patients who are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near target A1C levels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with near-normal FPG but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high PPG levels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FF6119" w:rsidP="00FF61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 most common side effects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are flatulence, abdominal pain, and diarrhea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, which can be reduced by slow dosage titration.</w:t>
      </w:r>
    </w:p>
    <w:p w:rsidR="006476C0" w:rsidRPr="00FF6119" w:rsidRDefault="006476C0" w:rsidP="006476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C60670" w:rsidRDefault="006476C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proofErr w:type="spellStart"/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Meglitinides</w:t>
      </w:r>
      <w:proofErr w:type="spellEnd"/>
    </w:p>
    <w:p w:rsidR="00432451" w:rsidRDefault="00B54AD8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4AD8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Nateglinide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proofErr w:type="spellStart"/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repaglinide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stimulate insulin secretion from pancreatic β-cells by binding to a site adjacent to the sulfonylurea receptor. 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B54AD8" w:rsidP="00B54A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They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are similar to sulfonylureas except that they have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a faster onset and shorter duration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of action. </w:t>
      </w:r>
    </w:p>
    <w:p w:rsidR="00432451" w:rsidRPr="00FF6119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Similar to sulfonylureas, the main side effects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are hypoglycemia and weight gain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432451" w:rsidRPr="00FF6119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B54AD8" w:rsidP="00B54A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They may be a good option for patients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erratic meal schedules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 However,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multiple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daily dosing may decrease adherence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432451" w:rsidRPr="00FF6119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Meglitinides should be taken by mouth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each meal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, initiated at a low dose, and titrated over time until glycemic control is achieved.</w:t>
      </w:r>
    </w:p>
    <w:p w:rsidR="00432451" w:rsidRPr="00FF6119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C60670" w:rsidRDefault="006476C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Bile Acid Sequestrants</w:t>
      </w:r>
    </w:p>
    <w:p w:rsidR="006476C0" w:rsidRPr="00B815FC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4AD8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Colesevelam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binds bile acid in the intestinal lumen, decreasing the bile acid pool for reabsorption. Its mechanism in lowering plasma glucose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levels is unknown, and its role in therapy is unclear.</w:t>
      </w:r>
    </w:p>
    <w:p w:rsidR="00432451" w:rsidRPr="00FF6119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54AD8" w:rsidRDefault="00B54AD8" w:rsidP="00B54A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It reduces LDL-C in patients with type 2 DM by 12%</w:t>
      </w:r>
      <w:r w:rsidR="006476C0" w:rsidRPr="00B815FC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16%. 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Colesevelam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is weight neutral and has a low risk of hypoglycemia. Patients with type 2 DM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who need a small reduction in A1C as well as</w:t>
      </w:r>
      <w:r w:rsidR="00432451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additional LDL-C lowering may be candidates for this agent.</w:t>
      </w:r>
    </w:p>
    <w:p w:rsidR="00432451" w:rsidRPr="00B54AD8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6476C0" w:rsidRPr="00B54AD8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 most common side effects are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constipation and dyspepsia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;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colesevelam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should be taken with a large amount of water.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Colesevelam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has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multiple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absorption-related drug</w:t>
      </w:r>
      <w:r w:rsidR="006476C0" w:rsidRPr="00B54AD8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drug interactions.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C60670" w:rsidRDefault="006476C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Dopamine Agonists</w:t>
      </w:r>
    </w:p>
    <w:p w:rsidR="006476C0" w:rsidRPr="00B815FC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Bromocriptine </w:t>
      </w:r>
      <w:proofErr w:type="spellStart"/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mesylate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is FDA approved for treatment of type 2 DM. The mechanisms by which it improves glycemic control are unknown but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may involve improved hepatic insulin sensitivity and decreased hepatic glucose output.</w:t>
      </w:r>
    </w:p>
    <w:p w:rsidR="00432451" w:rsidRPr="00FF6119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B54AD8" w:rsidP="00B54A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2-I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ts role in the treatment of type 2 DM is unclear.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Common side effects include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nausea, vomiting, constipation, fatigue, headache, dizziness, and asthenia. Somnolence and orthostatic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hypotension may also occur.</w:t>
      </w:r>
    </w:p>
    <w:p w:rsidR="00432451" w:rsidRPr="00FF6119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C60670" w:rsidRDefault="006476C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Amylin Analogs</w:t>
      </w:r>
    </w:p>
    <w:p w:rsidR="006476C0" w:rsidRPr="00B54AD8" w:rsidRDefault="00B54AD8" w:rsidP="00B54A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4AD8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Pramlintide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is a synthetic amylin analog that reduces glucagon secretion, slows gastric emptying, and increases satiety. 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It was the first</w:t>
      </w:r>
      <w:r w:rsidR="00432451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noninsulin agent approved for patients with type 1 DM.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32451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It is used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primarily in type 1 DM as adjunctive therapy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for patients who are not achieving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PPG goals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despite maximizing mealtime insulin doses. 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It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can also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decrease weight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may allow for lower mealtime insulin doses.</w:t>
      </w:r>
    </w:p>
    <w:p w:rsidR="00432451" w:rsidRPr="00FF6119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32451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most common adverse effects are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nausea, vomiting, and anorexia. It does not cause hypoglycemia when used alone, but hypoglycemia can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occur when used with insulin. 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54AD8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To minimize the risk of severe hypoglycemia, 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empirically reduce the mealtime insulin dose by 30%</w:t>
      </w:r>
      <w:r w:rsidR="006476C0" w:rsidRPr="00B54AD8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50% when</w:t>
      </w:r>
      <w:r w:rsidR="00432451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pramlintide</w:t>
      </w:r>
      <w:proofErr w:type="spellEnd"/>
      <w:r w:rsidR="006476C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is initiated.</w:t>
      </w:r>
    </w:p>
    <w:p w:rsidR="00FF6119" w:rsidRPr="00FF6119" w:rsidRDefault="00FF6119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C60670" w:rsidRDefault="00AC2FD0" w:rsidP="00FF61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 w:rsidRPr="00C60670">
        <w:rPr>
          <w:rFonts w:asciiTheme="majorBidi" w:hAnsiTheme="majorBidi" w:cstheme="majorBidi"/>
          <w:b/>
          <w:bCs/>
          <w:color w:val="3333FF"/>
          <w:sz w:val="32"/>
          <w:szCs w:val="32"/>
        </w:rPr>
        <w:t>Treatment of Hyperglycemia in Type 2 Diabetes</w:t>
      </w:r>
    </w:p>
    <w:p w:rsidR="00432451" w:rsidRDefault="00B54AD8" w:rsidP="00B54A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Upon diagnosis,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s</w:t>
      </w:r>
      <w:r w:rsidR="00AC2FD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et a patient-specific A1C target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Implement comprehensive lifestyle modifications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with MNT, physical activity, weight loss if obese, smoking cessation, and 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psychologic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support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upon diagnosis and reinforce them at every visit. 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C2FD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Initiate metformin as first-line therapy in patients without contraindications or tolerability issues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 Start with a low dose and titrate to the maximum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effective dose over time to improve tolerability.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815FC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If the initial A1C is close to goal (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AC2FD0" w:rsidRPr="00B815FC">
        <w:rPr>
          <w:rFonts w:asciiTheme="majorBidi" w:hAnsiTheme="majorBidi" w:cstheme="majorBidi" w:hint="cs"/>
          <w:color w:val="333333"/>
          <w:sz w:val="28"/>
          <w:szCs w:val="28"/>
        </w:rPr>
        <w:t>≤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7.5%) </w:t>
      </w:r>
      <w:r w:rsidR="00AC2FD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consider initial treatment with lifestyle modifications alone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if the patient is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motivated.</w:t>
      </w:r>
    </w:p>
    <w:p w:rsidR="00432451" w:rsidRPr="00FF6119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54AD8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Consider </w:t>
      </w:r>
      <w:r w:rsidR="00AC2FD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starting two medications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(metformin plus a second agent) if the initial A1C is &gt;</w:t>
      </w:r>
      <w:r w:rsidR="00AC2FD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1.5% higher than the target A1C.</w:t>
      </w:r>
    </w:p>
    <w:p w:rsidR="00432451" w:rsidRPr="00B54AD8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AC2FD0" w:rsidRPr="00B815FC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AC2FD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Consider early introduction of basal insulin in patients with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very high A1C levels (&gt;10%), symptoms of hyperglycemia, or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evidence of catabolism (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, weight loss).</w:t>
      </w:r>
    </w:p>
    <w:p w:rsidR="00432451" w:rsidRPr="00FF6119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54AD8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AC2FD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See patients at least every 3 months if they are not meeting their goals and at least every 6 months if they are meeting goals.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At those times, check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an A1C level, assess medication adherence, and reinforce lifestyle recommendations.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54AD8">
        <w:rPr>
          <w:rFonts w:asciiTheme="majorBidi" w:hAnsiTheme="majorBidi" w:cstheme="majorBidi"/>
          <w:b/>
          <w:bCs/>
          <w:color w:val="333333"/>
          <w:sz w:val="28"/>
          <w:szCs w:val="28"/>
        </w:rPr>
        <w:t>Add additional therapy if glucose targets have not been met.</w:t>
      </w:r>
    </w:p>
    <w:p w:rsidR="00432451" w:rsidRPr="00FF6119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432451" w:rsidRDefault="00B54AD8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For patients maximized on metformin therapy but with A1C levels above the target, add a 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second-line </w:t>
      </w:r>
      <w:proofErr w:type="spellStart"/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antihyperglycemic</w:t>
      </w:r>
      <w:proofErr w:type="spellEnd"/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agent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 The ADA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Standards of Care identify six drug classes to consider: </w:t>
      </w:r>
    </w:p>
    <w:p w:rsidR="00432451" w:rsidRDefault="00AC2FD0" w:rsidP="009740EA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815FC">
        <w:rPr>
          <w:rFonts w:asciiTheme="majorBidi" w:hAnsiTheme="majorBidi" w:cstheme="majorBidi"/>
          <w:color w:val="333333"/>
          <w:sz w:val="28"/>
          <w:szCs w:val="28"/>
        </w:rPr>
        <w:t>(1) DPP-4 inhibitors, (2) GLP1-RAs, (3) SGLT-2 inhibitors, (4) sulfonylureas, (5) TZDs, and (6)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basal insulin. 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432451" w:rsidRDefault="009740EA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Patient-specific factors to consider in medication selection include the individualized A1C target and 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presence of comorbidities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ASCVD, HF, CKD, obesity). 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432451" w:rsidRDefault="009740EA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9-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Drug-specific factors to consider include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glucose-lowering efficacy, impact on comorbidities, effect on weight and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hypoglycemia risk, side-effect profile, ease of use, and cost. 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815FC" w:rsidRDefault="009740EA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10-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Recommendations based on patient-specific comorbidities and other factors include:</w:t>
      </w:r>
    </w:p>
    <w:p w:rsidR="00AC2FD0" w:rsidRPr="009740EA" w:rsidRDefault="00AC2FD0" w:rsidP="009740EA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Established ASCVD or CKD</w:t>
      </w:r>
      <w:r w:rsidRPr="009740EA">
        <w:rPr>
          <w:rFonts w:asciiTheme="majorBidi" w:hAnsiTheme="majorBidi" w:cstheme="majorBidi"/>
          <w:color w:val="333333"/>
          <w:sz w:val="28"/>
          <w:szCs w:val="28"/>
        </w:rPr>
        <w:t>: SGLT-2 inhibitor (</w:t>
      </w:r>
      <w:proofErr w:type="spellStart"/>
      <w:r w:rsidRPr="009740EA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Pr="009740E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9740EA">
        <w:rPr>
          <w:rFonts w:asciiTheme="majorBidi" w:hAnsiTheme="majorBidi" w:cstheme="majorBidi"/>
          <w:color w:val="333333"/>
          <w:sz w:val="28"/>
          <w:szCs w:val="28"/>
        </w:rPr>
        <w:t>empagliflozin</w:t>
      </w:r>
      <w:proofErr w:type="spellEnd"/>
      <w:r w:rsidRPr="009740EA">
        <w:rPr>
          <w:rFonts w:asciiTheme="majorBidi" w:hAnsiTheme="majorBidi" w:cstheme="majorBidi"/>
          <w:color w:val="333333"/>
          <w:sz w:val="28"/>
          <w:szCs w:val="28"/>
        </w:rPr>
        <w:t>) or GLP1-RA (</w:t>
      </w:r>
      <w:proofErr w:type="spellStart"/>
      <w:r w:rsidRPr="009740EA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Pr="009740E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9740EA">
        <w:rPr>
          <w:rFonts w:asciiTheme="majorBidi" w:hAnsiTheme="majorBidi" w:cstheme="majorBidi"/>
          <w:color w:val="333333"/>
          <w:sz w:val="28"/>
          <w:szCs w:val="28"/>
        </w:rPr>
        <w:t>liraglutide</w:t>
      </w:r>
      <w:proofErr w:type="spellEnd"/>
      <w:r w:rsidRPr="009740EA">
        <w:rPr>
          <w:rFonts w:asciiTheme="majorBidi" w:hAnsiTheme="majorBidi" w:cstheme="majorBidi"/>
          <w:color w:val="333333"/>
          <w:sz w:val="28"/>
          <w:szCs w:val="28"/>
        </w:rPr>
        <w:t>) with proven CV benefit.</w:t>
      </w:r>
    </w:p>
    <w:p w:rsidR="00AC2FD0" w:rsidRPr="009740EA" w:rsidRDefault="00AC2FD0" w:rsidP="009740EA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Established ASCVD and HF:</w:t>
      </w:r>
      <w:r w:rsidRPr="009740EA">
        <w:rPr>
          <w:rFonts w:asciiTheme="majorBidi" w:hAnsiTheme="majorBidi" w:cstheme="majorBidi"/>
          <w:color w:val="333333"/>
          <w:sz w:val="28"/>
          <w:szCs w:val="28"/>
        </w:rPr>
        <w:t xml:space="preserve"> SGLT-2 inhibitor with proven benefit in reducing HF progression. Avoid TZDs in patients with HF.</w:t>
      </w:r>
    </w:p>
    <w:p w:rsidR="00AC2FD0" w:rsidRPr="009740EA" w:rsidRDefault="00AC2FD0" w:rsidP="009740EA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CKD (with or without ASCVD):</w:t>
      </w:r>
      <w:r w:rsidRPr="009740EA">
        <w:rPr>
          <w:rFonts w:asciiTheme="majorBidi" w:hAnsiTheme="majorBidi" w:cstheme="majorBidi"/>
          <w:color w:val="333333"/>
          <w:sz w:val="28"/>
          <w:szCs w:val="28"/>
        </w:rPr>
        <w:t xml:space="preserve"> SGLT-2 inhibitor with proven benefit in reducing CKD progression.</w:t>
      </w:r>
    </w:p>
    <w:p w:rsidR="00AC2FD0" w:rsidRPr="009740EA" w:rsidRDefault="00AC2FD0" w:rsidP="009740EA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Need to minimize weight gain or promote weight loss in patients without ASCVD or CKD:</w:t>
      </w:r>
      <w:r w:rsidRPr="009740EA">
        <w:rPr>
          <w:rFonts w:asciiTheme="majorBidi" w:hAnsiTheme="majorBidi" w:cstheme="majorBidi"/>
          <w:color w:val="333333"/>
          <w:sz w:val="28"/>
          <w:szCs w:val="28"/>
        </w:rPr>
        <w:t xml:space="preserve"> GLP1-RA or SGLT-2 inhibitor. If these agents</w:t>
      </w:r>
      <w:r w:rsidR="00432451" w:rsidRPr="009740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9740EA">
        <w:rPr>
          <w:rFonts w:asciiTheme="majorBidi" w:hAnsiTheme="majorBidi" w:cstheme="majorBidi"/>
          <w:color w:val="333333"/>
          <w:sz w:val="28"/>
          <w:szCs w:val="28"/>
        </w:rPr>
        <w:t>cannot be used, use a weight-neutral medication such as a DPP-4 inhibitor. Avoid sulfonylureas, insulin, and TZDs due to weight gain.</w:t>
      </w:r>
    </w:p>
    <w:p w:rsidR="00AC2FD0" w:rsidRPr="009740EA" w:rsidRDefault="00AC2FD0" w:rsidP="009740EA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Compelling need to minimize hypoglycemia</w:t>
      </w:r>
      <w:r w:rsidRPr="009740EA">
        <w:rPr>
          <w:rFonts w:asciiTheme="majorBidi" w:hAnsiTheme="majorBidi" w:cstheme="majorBidi"/>
          <w:color w:val="333333"/>
          <w:sz w:val="28"/>
          <w:szCs w:val="28"/>
        </w:rPr>
        <w:t>: DPP-4 inhibitor, GLP1-RA, SGLT-2 inhibitor, or TZD could be added to metformin.</w:t>
      </w:r>
    </w:p>
    <w:p w:rsidR="00432451" w:rsidRPr="00FF6119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815FC" w:rsidRDefault="009740EA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11-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If the A1C target is not achieved after 3 months of dual therapy or if the patient did not tolerate the selected drug(s), 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then triple therapy is</w:t>
      </w:r>
      <w:r w:rsidR="00432451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warranted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, adding a drug from another class.</w:t>
      </w:r>
    </w:p>
    <w:p w:rsidR="00432451" w:rsidRPr="00FF6119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9740EA" w:rsidRDefault="009740EA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12-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People with type 2 DM can often be managed with oral medications for years before injectable medications are needed. </w:t>
      </w:r>
    </w:p>
    <w:p w:rsidR="009740EA" w:rsidRDefault="009740EA" w:rsidP="009740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432451" w:rsidRDefault="009740EA" w:rsidP="009740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13-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Insulin is recommended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for extreme (A1C &gt;10%) or symptomatic hyperglycemia.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Otherwise, 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GLP-1 RAs are preferred over basal insulin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because they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have equal or superior A1C lowering efficacy and lead to weight loss instead of weight gain with a low risk of hypoglycemia. 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Default="009740EA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14-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Basal insulin can be</w:t>
      </w:r>
      <w:r w:rsidR="00432451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initiated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if additional glucose lowering is needed after the GLP-1 RA dose has been maximized.</w:t>
      </w:r>
    </w:p>
    <w:p w:rsidR="00432451" w:rsidRPr="00FF6119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B55260" w:rsidRDefault="009740EA" w:rsidP="00B552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740EA">
        <w:rPr>
          <w:rFonts w:asciiTheme="majorBidi" w:hAnsiTheme="majorBidi" w:cstheme="majorBidi"/>
          <w:color w:val="333333"/>
          <w:sz w:val="28"/>
          <w:szCs w:val="28"/>
        </w:rPr>
        <w:t>15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If the A1C target is not reached by maximally titrating basal insulin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B5526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PPG levels are likely elevated and 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a GLP1-RA or SGLT-2 inhibitor should be considered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if the patient is not already taking one. </w:t>
      </w:r>
    </w:p>
    <w:p w:rsidR="00B55260" w:rsidRPr="00FF6119" w:rsidRDefault="00B55260" w:rsidP="00B552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6476C0" w:rsidRPr="00B815FC" w:rsidRDefault="009740EA" w:rsidP="009740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16-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Prandial insulin is</w:t>
      </w:r>
      <w:r w:rsidR="00B5526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also an option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Titrate the dose over time to achieve target PPG levels &lt;180 mg/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dL</w:t>
      </w:r>
      <w:proofErr w:type="spellEnd"/>
      <w:r w:rsidR="00B55260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A second or third injection can be added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to the other meals if needed.</w:t>
      </w:r>
    </w:p>
    <w:p w:rsidR="00AC2FD0" w:rsidRPr="00FF6119" w:rsidRDefault="00AC2FD0" w:rsidP="00AC2FD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55260" w:rsidRDefault="00AC2FD0" w:rsidP="00B552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 w:rsidRPr="00B55260">
        <w:rPr>
          <w:rFonts w:asciiTheme="majorBidi" w:hAnsiTheme="majorBidi" w:cstheme="majorBidi"/>
          <w:b/>
          <w:bCs/>
          <w:color w:val="3333FF"/>
          <w:sz w:val="32"/>
          <w:szCs w:val="32"/>
        </w:rPr>
        <w:t>Treatment of Hyperglycemia in Type 1 Diabetes</w:t>
      </w:r>
    </w:p>
    <w:p w:rsidR="00AC2FD0" w:rsidRDefault="009740EA" w:rsidP="00E70BB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All patients with type 1 DM require exogenous insulin. Achieving adequate glycemic control usually requires 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intensive insulin regimens designed</w:t>
      </w:r>
      <w:r w:rsidR="00E70BB6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9740EA">
        <w:rPr>
          <w:rFonts w:asciiTheme="majorBidi" w:hAnsiTheme="majorBidi" w:cstheme="majorBidi"/>
          <w:b/>
          <w:bCs/>
          <w:color w:val="333333"/>
          <w:sz w:val="28"/>
          <w:szCs w:val="28"/>
        </w:rPr>
        <w:t>to provide insulin in a manner that mimics normal physiologic insulin secretion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, with consistent secretion of insulin throughout the day to</w:t>
      </w:r>
      <w:r w:rsidR="00E70BB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manage glucose levels overnight and in between meals (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ie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, basal insulin), and bursts of insulin in response to glucose rises after ingestion of</w:t>
      </w:r>
      <w:r w:rsidR="00E70BB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carbohydrates (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ie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, prandial insulin).</w:t>
      </w:r>
    </w:p>
    <w:p w:rsidR="00E70BB6" w:rsidRPr="00FF6119" w:rsidRDefault="00E70BB6" w:rsidP="00E70BB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891F2A" w:rsidRDefault="009740EA" w:rsidP="00E70BB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C2FD0"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>Intensive insulin regimens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can be given with either </w:t>
      </w:r>
      <w:r w:rsidR="00AC2FD0"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>multiple daily injections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(MDI) or use of </w:t>
      </w:r>
      <w:r w:rsidR="00AC2FD0"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>continuous subcutaneous insulin infusion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(CSII) via an</w:t>
      </w:r>
      <w:r w:rsidR="00E70BB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>insulin pump.</w:t>
      </w:r>
    </w:p>
    <w:p w:rsidR="00E70BB6" w:rsidRPr="00FF6119" w:rsidRDefault="00E70BB6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E70BB6" w:rsidRDefault="00891F2A" w:rsidP="00891F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A common MDI approach is one injection of long-acting insulin (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, insulin glargine) for the basal component and three injections of rapid</w:t>
      </w:r>
      <w:r w:rsidR="00E70BB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acting</w:t>
      </w:r>
      <w:r w:rsidR="00E70BB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insulin (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insulin lispro) for the prandial component. </w:t>
      </w:r>
    </w:p>
    <w:p w:rsidR="00E70BB6" w:rsidRPr="00FF6119" w:rsidRDefault="00E70BB6" w:rsidP="00E70BB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Default="00891F2A" w:rsidP="00891F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C2FD0"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>A less expensive option consists of two injections of</w:t>
      </w:r>
      <w:r w:rsidR="00E70BB6"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>intermediate-acting insulin (</w:t>
      </w:r>
      <w:proofErr w:type="spellStart"/>
      <w:r w:rsidR="00AC2FD0"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>eg</w:t>
      </w:r>
      <w:proofErr w:type="spellEnd"/>
      <w:r w:rsidR="00AC2FD0"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>, NPH insulin) and two injections of short-acting insulin (</w:t>
      </w:r>
      <w:proofErr w:type="spellStart"/>
      <w:r w:rsidR="00AC2FD0"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>eg</w:t>
      </w:r>
      <w:proofErr w:type="spellEnd"/>
      <w:r w:rsidR="00AC2FD0"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>, regular insulin).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However, the ADA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Standards of Care recommend that most patients should use rapid-acting insulins rather than regular insulin to reduce the risk of hypoglycemia.</w:t>
      </w:r>
    </w:p>
    <w:p w:rsidR="00E70BB6" w:rsidRPr="00FF6119" w:rsidRDefault="00E70BB6" w:rsidP="00E70BB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E70BB6" w:rsidRDefault="00891F2A" w:rsidP="00E70BB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Insulin pump therapy or CSII infuses rapid-acting insulin to cover both the basal and prandial insulin needs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. The pump infuses a</w:t>
      </w:r>
      <w:r w:rsidR="00E70BB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basal rate constantly throughout the day and allows </w:t>
      </w:r>
      <w:bookmarkStart w:id="0" w:name="_GoBack"/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the patient to give bolus doses using a bolus dose calculator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bookmarkEnd w:id="0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based on current glucose levels,</w:t>
      </w:r>
      <w:r w:rsidR="00E70BB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carbohydrate intake, and insulin on board. </w:t>
      </w:r>
    </w:p>
    <w:p w:rsidR="00E70BB6" w:rsidRPr="00FF6119" w:rsidRDefault="00E70BB6" w:rsidP="00E70BB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815FC" w:rsidRDefault="00891F2A" w:rsidP="00E70BB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Insulin pump therapy can provide more precise glucose control and allow greater flexibility and fine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tune</w:t>
      </w:r>
      <w:r w:rsidR="00E70BB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tailoring.</w:t>
      </w:r>
    </w:p>
    <w:p w:rsidR="00E70BB6" w:rsidRPr="00FF6119" w:rsidRDefault="00E70BB6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B55260" w:rsidRDefault="00891F2A" w:rsidP="00891F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The total daily insulin dose is</w:t>
      </w:r>
      <w:r w:rsidR="00B5526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divided to give 50% as basal insulin and 50% as prandial insulin (distributed across meals).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The insulin doses would then be adjusted based on</w:t>
      </w:r>
      <w:r w:rsidR="00B5526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SMBG data.</w:t>
      </w:r>
      <w:r w:rsidR="00B5526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Ideally, patients should learn to count carbohydrates so they can match their prandial insulin doses to their carbohydrate intake. </w:t>
      </w:r>
    </w:p>
    <w:p w:rsidR="00B55260" w:rsidRPr="00FF6119" w:rsidRDefault="00B55260" w:rsidP="00B552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815FC" w:rsidRDefault="00891F2A" w:rsidP="00891F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Patients should</w:t>
      </w:r>
      <w:r w:rsidR="00B5526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also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SMBG before each meal or use continuous glucose monitoring (CGM) to evaluate the insulin regimen and make treatment decisions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 Bolus</w:t>
      </w:r>
      <w:r w:rsidR="00B5526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insulin doses can be better individualized by using carbohydrate-to-insulin ratios (C:I ratios) and correction factors (CF)</w:t>
      </w:r>
      <w:r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B55260" w:rsidRPr="00FF6119" w:rsidRDefault="00B5526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B55260" w:rsidRDefault="00891F2A" w:rsidP="00891F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9-</w:t>
      </w:r>
      <w:r w:rsidR="00AC2FD0"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>Pramlintide is indicated as adjunctive treatment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in patients with type 1 DM who are not achieving glycemic targets despite optimization of</w:t>
      </w:r>
      <w:r w:rsidR="00B5526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mealtime insulin</w:t>
      </w:r>
      <w:r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B55260" w:rsidRPr="00FF6119" w:rsidRDefault="00B55260" w:rsidP="00B552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815FC" w:rsidRDefault="00891F2A" w:rsidP="00B552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10-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Pramlintide may improve glycemic control and minimize weight gain caused by</w:t>
      </w:r>
      <w:r w:rsidR="00B5526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insulin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, but its use is limited by adverse effects such as nausea and vomiting, modest glucose improvements, increased injections and cost, and</w:t>
      </w:r>
      <w:r w:rsidR="00B5526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increased risk of hypoglycemia.</w:t>
      </w:r>
    </w:p>
    <w:p w:rsidR="00B55260" w:rsidRPr="00FF6119" w:rsidRDefault="00B5526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B55260" w:rsidRDefault="00891F2A" w:rsidP="00B552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11-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Assess patients every 3 months if uncontrolled and every 6 months if controlled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 Obtain an A1C and adjust treatment as needed. Patients on</w:t>
      </w:r>
      <w:r w:rsidR="00B5526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intensive insulin therapy should SMBG at least four times daily, before meals and at bedtime. </w:t>
      </w:r>
    </w:p>
    <w:p w:rsidR="00B55260" w:rsidRPr="00FF6119" w:rsidRDefault="00B55260" w:rsidP="00B552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815FC" w:rsidRDefault="00891F2A" w:rsidP="00B552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12-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Patients should also test before exercise, prior to</w:t>
      </w:r>
      <w:r w:rsidR="00B5526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critical tasks such as driving, and if symptoms of hypoglycemia occur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 SMBG is crucial during times of intercurrent illness or stresses for early</w:t>
      </w:r>
      <w:r w:rsidR="00B5526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detection and prevention of DKA.</w:t>
      </w:r>
    </w:p>
    <w:p w:rsidR="00B55260" w:rsidRPr="00FF6119" w:rsidRDefault="00B5526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815FC" w:rsidRDefault="00891F2A" w:rsidP="00891F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13-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Current guidelines recommend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CGM in patients with type 1 DM who are not meeting glycemic goals.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They are also recommended in patients with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hypoglycemia unawareness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to better detect and prevent hypoglycemic events.</w:t>
      </w:r>
    </w:p>
    <w:p w:rsidR="00AC2FD0" w:rsidRPr="00FF6119" w:rsidRDefault="00AC2FD0" w:rsidP="00AC2FD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C60670" w:rsidRDefault="00AC2FD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 w:rsidRPr="00C60670">
        <w:rPr>
          <w:rFonts w:asciiTheme="majorBidi" w:hAnsiTheme="majorBidi" w:cstheme="majorBidi"/>
          <w:b/>
          <w:bCs/>
          <w:color w:val="3333FF"/>
          <w:sz w:val="32"/>
          <w:szCs w:val="32"/>
        </w:rPr>
        <w:t>Common insulin regimens.</w:t>
      </w:r>
    </w:p>
    <w:p w:rsidR="00AC2FD0" w:rsidRPr="00B815FC" w:rsidRDefault="00AC2FD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(A) Multiple-component insulin regimen consisting of </w:t>
      </w:r>
      <w:r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>one injection of long-acting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insulin (</w:t>
      </w:r>
      <w:proofErr w:type="spellStart"/>
      <w:r w:rsidRPr="00B815FC">
        <w:rPr>
          <w:rFonts w:asciiTheme="majorBidi" w:hAnsiTheme="majorBidi" w:cstheme="majorBidi"/>
          <w:color w:val="333333"/>
          <w:sz w:val="28"/>
          <w:szCs w:val="28"/>
        </w:rPr>
        <w:t>detemir</w:t>
      </w:r>
      <w:proofErr w:type="spellEnd"/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glargine </w:t>
      </w:r>
      <w:proofErr w:type="spellStart"/>
      <w:r w:rsidRPr="00B815FC">
        <w:rPr>
          <w:rFonts w:asciiTheme="majorBidi" w:hAnsiTheme="majorBidi" w:cstheme="majorBidi"/>
          <w:color w:val="333333"/>
          <w:sz w:val="28"/>
          <w:szCs w:val="28"/>
        </w:rPr>
        <w:t>degludec</w:t>
      </w:r>
      <w:proofErr w:type="spellEnd"/>
      <w:r w:rsidRPr="00B815FC">
        <w:rPr>
          <w:rFonts w:asciiTheme="majorBidi" w:hAnsiTheme="majorBidi" w:cstheme="majorBidi"/>
          <w:color w:val="333333"/>
          <w:sz w:val="28"/>
          <w:szCs w:val="28"/>
        </w:rPr>
        <w:t>) to provide basal glycemic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coverage and </w:t>
      </w:r>
      <w:r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three injections of rapid-acting insulin 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>(</w:t>
      </w:r>
      <w:proofErr w:type="spellStart"/>
      <w:r w:rsidRPr="00B815FC">
        <w:rPr>
          <w:rFonts w:asciiTheme="majorBidi" w:hAnsiTheme="majorBidi" w:cstheme="majorBidi"/>
          <w:color w:val="333333"/>
          <w:sz w:val="28"/>
          <w:szCs w:val="28"/>
        </w:rPr>
        <w:t>aspart</w:t>
      </w:r>
      <w:proofErr w:type="spellEnd"/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lispro, </w:t>
      </w:r>
      <w:proofErr w:type="spellStart"/>
      <w:r w:rsidRPr="00B815FC">
        <w:rPr>
          <w:rFonts w:asciiTheme="majorBidi" w:hAnsiTheme="majorBidi" w:cstheme="majorBidi"/>
          <w:color w:val="333333"/>
          <w:sz w:val="28"/>
          <w:szCs w:val="28"/>
        </w:rPr>
        <w:t>glulisine</w:t>
      </w:r>
      <w:proofErr w:type="spellEnd"/>
      <w:r w:rsidRPr="00B815FC">
        <w:rPr>
          <w:rFonts w:asciiTheme="majorBidi" w:hAnsiTheme="majorBidi" w:cstheme="majorBidi"/>
          <w:color w:val="333333"/>
          <w:sz w:val="28"/>
          <w:szCs w:val="28"/>
        </w:rPr>
        <w:t>) to provide glycemic coverage for each meal.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815FC" w:rsidRDefault="00AC2FD0" w:rsidP="00891F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(B) Insulin regimen consisting of </w:t>
      </w:r>
      <w:r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two injections of intermediate-acting insulin 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>(NPH) and rapid-acting insulin (</w:t>
      </w:r>
      <w:proofErr w:type="spellStart"/>
      <w:r w:rsidRPr="00B815FC">
        <w:rPr>
          <w:rFonts w:asciiTheme="majorBidi" w:hAnsiTheme="majorBidi" w:cstheme="majorBidi"/>
          <w:color w:val="333333"/>
          <w:sz w:val="28"/>
          <w:szCs w:val="28"/>
        </w:rPr>
        <w:t>aspart</w:t>
      </w:r>
      <w:proofErr w:type="spellEnd"/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lispro, </w:t>
      </w:r>
      <w:proofErr w:type="spellStart"/>
      <w:r w:rsidRPr="00B815FC">
        <w:rPr>
          <w:rFonts w:asciiTheme="majorBidi" w:hAnsiTheme="majorBidi" w:cstheme="majorBidi"/>
          <w:color w:val="333333"/>
          <w:sz w:val="28"/>
          <w:szCs w:val="28"/>
        </w:rPr>
        <w:t>glulisine</w:t>
      </w:r>
      <w:proofErr w:type="spellEnd"/>
      <w:r w:rsidRPr="00B815FC">
        <w:rPr>
          <w:rFonts w:asciiTheme="majorBidi" w:hAnsiTheme="majorBidi" w:cstheme="majorBidi"/>
          <w:color w:val="333333"/>
          <w:sz w:val="28"/>
          <w:szCs w:val="28"/>
        </w:rPr>
        <w:t>), or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>short-acting regular insulin. Only one formulation of short-acting insulin is used.</w:t>
      </w:r>
    </w:p>
    <w:p w:rsidR="00B55260" w:rsidRPr="00FF6119" w:rsidRDefault="00B5526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815FC" w:rsidRDefault="00AC2FD0" w:rsidP="00B552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815FC">
        <w:rPr>
          <w:rFonts w:asciiTheme="majorBidi" w:hAnsiTheme="majorBidi" w:cstheme="majorBidi"/>
          <w:color w:val="333333"/>
          <w:sz w:val="28"/>
          <w:szCs w:val="28"/>
        </w:rPr>
        <w:lastRenderedPageBreak/>
        <w:t xml:space="preserve">(C) </w:t>
      </w:r>
      <w:r w:rsidRPr="00891F2A">
        <w:rPr>
          <w:rFonts w:asciiTheme="majorBidi" w:hAnsiTheme="majorBidi" w:cstheme="majorBidi"/>
          <w:b/>
          <w:bCs/>
          <w:color w:val="333333"/>
          <w:sz w:val="28"/>
          <w:szCs w:val="28"/>
        </w:rPr>
        <w:t>Insulin administration by insulin infusion device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>. The basal insulin rate is decreased during the evening and increased slightly prior to the patient</w:t>
      </w:r>
      <w:r w:rsidR="00B5526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>awakening in the morning. Rapid-acting insulin (</w:t>
      </w:r>
      <w:proofErr w:type="spellStart"/>
      <w:r w:rsidRPr="00B815FC">
        <w:rPr>
          <w:rFonts w:asciiTheme="majorBidi" w:hAnsiTheme="majorBidi" w:cstheme="majorBidi"/>
          <w:color w:val="333333"/>
          <w:sz w:val="28"/>
          <w:szCs w:val="28"/>
        </w:rPr>
        <w:t>aspart</w:t>
      </w:r>
      <w:proofErr w:type="spellEnd"/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lispro, or </w:t>
      </w:r>
      <w:proofErr w:type="spellStart"/>
      <w:r w:rsidRPr="00B815FC">
        <w:rPr>
          <w:rFonts w:asciiTheme="majorBidi" w:hAnsiTheme="majorBidi" w:cstheme="majorBidi"/>
          <w:color w:val="333333"/>
          <w:sz w:val="28"/>
          <w:szCs w:val="28"/>
        </w:rPr>
        <w:t>glulisine</w:t>
      </w:r>
      <w:proofErr w:type="spellEnd"/>
      <w:r w:rsidRPr="00B815FC">
        <w:rPr>
          <w:rFonts w:asciiTheme="majorBidi" w:hAnsiTheme="majorBidi" w:cstheme="majorBidi"/>
          <w:color w:val="333333"/>
          <w:sz w:val="28"/>
          <w:szCs w:val="28"/>
        </w:rPr>
        <w:t>) is used in the insulin pump.</w:t>
      </w:r>
      <w:r w:rsidR="00B5526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C60670" w:rsidRDefault="00AC2FD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 w:rsidRPr="00C60670">
        <w:rPr>
          <w:rFonts w:asciiTheme="majorBidi" w:hAnsiTheme="majorBidi" w:cstheme="majorBidi"/>
          <w:b/>
          <w:bCs/>
          <w:color w:val="3333FF"/>
          <w:sz w:val="32"/>
          <w:szCs w:val="32"/>
        </w:rPr>
        <w:t>Hypoglycemia</w:t>
      </w:r>
    </w:p>
    <w:p w:rsidR="00AC2FD0" w:rsidRPr="00B815FC" w:rsidRDefault="00891F2A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Hypoglycemia is a common complication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of some diabetes medications and is associated with falls, injury, motor vehicle accidents, decreased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quality of life, and increased risk of developing dementia, CV events, arrhythmias, and death.</w:t>
      </w:r>
    </w:p>
    <w:p w:rsidR="00891F2A" w:rsidRDefault="00891F2A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AC2FD0" w:rsidRPr="00B815FC" w:rsidRDefault="00891F2A" w:rsidP="00891F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The severity of hypoglycemia is classified as follows:</w:t>
      </w:r>
    </w:p>
    <w:p w:rsidR="00AC2FD0" w:rsidRPr="00341375" w:rsidRDefault="00AC2FD0" w:rsidP="0034137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Level 1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(hypoglycemia alert value; </w:t>
      </w:r>
      <w:r w:rsidRPr="00341375">
        <w:rPr>
          <w:rFonts w:asciiTheme="majorBidi" w:hAnsiTheme="majorBidi" w:cstheme="majorBidi" w:hint="eastAsia"/>
          <w:color w:val="333333"/>
          <w:sz w:val="28"/>
          <w:szCs w:val="28"/>
        </w:rPr>
        <w:t>≤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>70 mg/</w:t>
      </w:r>
      <w:proofErr w:type="spellStart"/>
      <w:r w:rsidRPr="00341375">
        <w:rPr>
          <w:rFonts w:asciiTheme="majorBidi" w:hAnsiTheme="majorBidi" w:cstheme="majorBidi"/>
          <w:color w:val="333333"/>
          <w:sz w:val="28"/>
          <w:szCs w:val="28"/>
        </w:rPr>
        <w:t>dL</w:t>
      </w:r>
      <w:proofErr w:type="spellEnd"/>
      <w:r w:rsidRPr="00341375">
        <w:rPr>
          <w:rFonts w:asciiTheme="majorBidi" w:hAnsiTheme="majorBidi" w:cstheme="majorBidi"/>
          <w:color w:val="333333"/>
          <w:sz w:val="28"/>
          <w:szCs w:val="28"/>
        </w:rPr>
        <w:t>: May not cause symptoms but should be treated with a fast-acting</w:t>
      </w:r>
      <w:r w:rsidR="00341375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>carbohydrate and may need medication dose adjustment</w:t>
      </w:r>
    </w:p>
    <w:p w:rsidR="00AC2FD0" w:rsidRPr="00B815FC" w:rsidRDefault="00AC2FD0" w:rsidP="0034137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Level 2 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>(clinically significant hypoglycemia; &lt;54 mg/</w:t>
      </w:r>
      <w:proofErr w:type="spellStart"/>
      <w:r w:rsidRPr="00B815FC">
        <w:rPr>
          <w:rFonts w:asciiTheme="majorBidi" w:hAnsiTheme="majorBidi" w:cstheme="majorBidi"/>
          <w:color w:val="333333"/>
          <w:sz w:val="28"/>
          <w:szCs w:val="28"/>
        </w:rPr>
        <w:t>dL</w:t>
      </w:r>
      <w:proofErr w:type="spellEnd"/>
      <w:r w:rsidRPr="00B815FC">
        <w:rPr>
          <w:rFonts w:asciiTheme="majorBidi" w:hAnsiTheme="majorBidi" w:cstheme="majorBidi"/>
          <w:color w:val="333333"/>
          <w:sz w:val="28"/>
          <w:szCs w:val="28"/>
        </w:rPr>
        <w:t>: Serious, clinically important hypoglycemia</w:t>
      </w:r>
    </w:p>
    <w:p w:rsidR="00341375" w:rsidRDefault="00AC2FD0" w:rsidP="00B815F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Level 3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(severe hypoglycemia): Associated with cognitive impairment requiring external assistance for recovery and can be life threatening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815FC" w:rsidRDefault="00891F2A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C2FD0" w:rsidRPr="00250870">
        <w:rPr>
          <w:rFonts w:asciiTheme="majorBidi" w:hAnsiTheme="majorBidi" w:cstheme="majorBidi"/>
          <w:b/>
          <w:bCs/>
          <w:color w:val="333333"/>
          <w:sz w:val="28"/>
          <w:szCs w:val="28"/>
        </w:rPr>
        <w:t>Initial autonomic symptoms include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tachycardia, palpitations, sweating, tremors, and hunger. </w:t>
      </w:r>
      <w:proofErr w:type="spellStart"/>
      <w:r w:rsidR="00AC2FD0" w:rsidRPr="00250870">
        <w:rPr>
          <w:rFonts w:asciiTheme="majorBidi" w:hAnsiTheme="majorBidi" w:cstheme="majorBidi"/>
          <w:b/>
          <w:bCs/>
          <w:color w:val="333333"/>
          <w:sz w:val="28"/>
          <w:szCs w:val="28"/>
        </w:rPr>
        <w:t>Neuroglycopenic</w:t>
      </w:r>
      <w:proofErr w:type="spellEnd"/>
      <w:r w:rsidR="00AC2FD0" w:rsidRPr="0025087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symptoms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often occur with BG</w:t>
      </w:r>
      <w:r w:rsidR="00341375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>&lt;60 mg/</w:t>
      </w:r>
      <w:proofErr w:type="spellStart"/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>dL</w:t>
      </w:r>
      <w:proofErr w:type="spellEnd"/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>and can include cognitive impairment, confusion, behavioral changes, anger, irritability, blurred vision, headaches,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seizures, and loss of consciousness.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815FC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Some patients have </w:t>
      </w:r>
      <w:r w:rsidR="00AC2FD0" w:rsidRPr="00250870">
        <w:rPr>
          <w:rFonts w:asciiTheme="majorBidi" w:hAnsiTheme="majorBidi" w:cstheme="majorBidi"/>
          <w:b/>
          <w:bCs/>
          <w:color w:val="333333"/>
          <w:sz w:val="28"/>
          <w:szCs w:val="28"/>
        </w:rPr>
        <w:t>hypoglycemia unawareness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are unable to detect the early warning symptoms of hypoglycemia; they are at increased risk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for the serious sequelae associated with severe hypoglycemia.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B815FC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SMBG and CGM can be useful in preventing hypoglycemia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 Patients must be educated to understand situations that increase risk of hypoglycemia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(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, delaying meals, during or after exercising, or fasting).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Treatment of hypoglycemia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requires ingestion of carbohydrates, preferably glucose. Patients should carry a source of fast-acting glucose with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them at all times and use the </w:t>
      </w:r>
      <w:r w:rsidR="00AC2FD0" w:rsidRPr="004B0160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“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rule of 15</w:t>
      </w:r>
      <w:r w:rsidR="00AC2FD0" w:rsidRPr="004B0160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”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f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or proper treatment:</w:t>
      </w:r>
    </w:p>
    <w:p w:rsidR="00250870" w:rsidRPr="00B815FC" w:rsidRDefault="00250870" w:rsidP="002508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AC2FD0" w:rsidRPr="00341375" w:rsidRDefault="00AC2FD0" w:rsidP="00B815F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341375">
        <w:rPr>
          <w:rFonts w:asciiTheme="majorBidi" w:hAnsiTheme="majorBidi" w:cstheme="majorBidi"/>
          <w:color w:val="333333"/>
          <w:sz w:val="28"/>
          <w:szCs w:val="28"/>
        </w:rPr>
        <w:t>First use SMBG to confirm BG &lt;70 mg/</w:t>
      </w:r>
      <w:proofErr w:type="spellStart"/>
      <w:r w:rsidRPr="00341375">
        <w:rPr>
          <w:rFonts w:asciiTheme="majorBidi" w:hAnsiTheme="majorBidi" w:cstheme="majorBidi"/>
          <w:color w:val="333333"/>
          <w:sz w:val="28"/>
          <w:szCs w:val="28"/>
        </w:rPr>
        <w:t>dL</w:t>
      </w:r>
      <w:proofErr w:type="spellEnd"/>
      <w:r w:rsidR="00341375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and then </w:t>
      </w:r>
      <w:r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ingest 15 g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of fast-acting carbohydrates such as 1/2 cup (4 </w:t>
      </w:r>
      <w:proofErr w:type="spellStart"/>
      <w:r w:rsidRPr="00341375">
        <w:rPr>
          <w:rFonts w:asciiTheme="majorBidi" w:hAnsiTheme="majorBidi" w:cstheme="majorBidi"/>
          <w:color w:val="333333"/>
          <w:sz w:val="28"/>
          <w:szCs w:val="28"/>
        </w:rPr>
        <w:t>oz</w:t>
      </w:r>
      <w:proofErr w:type="spellEnd"/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or 125 mL) of</w:t>
      </w:r>
      <w:r w:rsidR="00341375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>milk, juice, or soda; 1 tablespoon of honey; hard candy; jelly beans; or glucose tablets.</w:t>
      </w:r>
    </w:p>
    <w:p w:rsidR="00AC2FD0" w:rsidRPr="004B0160" w:rsidRDefault="00AC2FD0" w:rsidP="0034137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Repeat SMBG in 15 minutes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>; if the BG is &lt;70 mg/</w:t>
      </w:r>
      <w:proofErr w:type="spellStart"/>
      <w:r w:rsidRPr="00B815FC">
        <w:rPr>
          <w:rFonts w:asciiTheme="majorBidi" w:hAnsiTheme="majorBidi" w:cstheme="majorBidi"/>
          <w:color w:val="333333"/>
          <w:sz w:val="28"/>
          <w:szCs w:val="28"/>
        </w:rPr>
        <w:t>dL</w:t>
      </w:r>
      <w:proofErr w:type="spellEnd"/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repeat the process.</w:t>
      </w:r>
    </w:p>
    <w:p w:rsidR="00AC2FD0" w:rsidRPr="00341375" w:rsidRDefault="00AC2FD0" w:rsidP="00B815F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Once the BG is normalized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eat a snack or meal that includes complex carbohydrates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and protein to prevent further hypoglycemic</w:t>
      </w:r>
      <w:r w:rsidR="00341375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>episodes.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341375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If the patient is unc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o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nscious,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give IV glucose or glucagon injection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. Glucagon increases 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glycogenolysis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in the liver and may be given in any situation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in which IV glucose cannot be rapidly administered.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341375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A glucagon kit should be prescribed and readily available to all patients on insulin who have a</w:t>
      </w:r>
      <w:r w:rsidR="00341375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history of or high risk for severe hypoglycemia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 It can take 10</w:t>
      </w:r>
      <w:r w:rsidR="00AC2FD0" w:rsidRPr="00B815FC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15 minutes before glucose levels start to rise, and patients often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vomit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Pr="004B0160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9-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Position the</w:t>
      </w:r>
      <w:r w:rsidR="00341375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 on the side with the head tilted slightly downward to avoid aspiration.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341375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10-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Clinicians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should monitor hypoglycemia at every visit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 Ask the patient about the frequency, severity, and timing of hypoglycemic events, need for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assistance by others, or the need to administer glucagon.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AC2FD0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11-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Reevaluate the treatment regimen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of patients with frequent or severe hypoglycemia to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minimize future episodes.</w:t>
      </w:r>
    </w:p>
    <w:p w:rsidR="00250870" w:rsidRPr="00B815FC" w:rsidRDefault="00250870" w:rsidP="002508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AC2FD0" w:rsidRPr="00C60670" w:rsidRDefault="00AC2FD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 w:rsidRPr="00C60670">
        <w:rPr>
          <w:rFonts w:asciiTheme="majorBidi" w:hAnsiTheme="majorBidi" w:cstheme="majorBidi"/>
          <w:b/>
          <w:bCs/>
          <w:color w:val="3333FF"/>
          <w:sz w:val="32"/>
          <w:szCs w:val="32"/>
        </w:rPr>
        <w:t>Complications and Comorbidities</w:t>
      </w:r>
    </w:p>
    <w:p w:rsidR="00AC2FD0" w:rsidRPr="00C60670" w:rsidRDefault="00AC2FD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Diabetic Ketoacidosis (DKA)</w:t>
      </w:r>
    </w:p>
    <w:p w:rsidR="00AC2FD0" w:rsidRPr="00B815FC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In patients with type 1 DM, DKA is usually precipitated by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omitting insulin, infection, or acute illness with resultant increases in cortisol,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catecholamines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, glucagon, and growth hormone.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B815FC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Patients may be alert, 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stuporous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or comatose at presentation. Diagnostic laboratory values include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hyperglycemia, anion gap acidosis, and large</w:t>
      </w:r>
      <w:r w:rsidR="00341375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ketonemia</w:t>
      </w:r>
      <w:proofErr w:type="spellEnd"/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or </w:t>
      </w:r>
      <w:proofErr w:type="spellStart"/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ketonuria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F6119" w:rsidRDefault="00250870" w:rsidP="00FF61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Patients have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fluid deficits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of several liters and significant sodium and potassium deficits. Treatment requires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restoration of intravascular volume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with normal saline followed by hypotonic saline to replace free water,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potassium supplements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insulin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given by continuous IV infusion.</w:t>
      </w:r>
    </w:p>
    <w:p w:rsidR="00FF6119" w:rsidRPr="00FF6119" w:rsidRDefault="00FF6119" w:rsidP="00FF61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1375" w:rsidRDefault="00250870" w:rsidP="00FF61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Constant infusion of a fixed insulin dose and administration of IV glucose when the BG level decreases to &lt;250 mg/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dL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are preferred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over titrating the insulin infusion based on the glucose level.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B815FC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Rapid correction of the glucose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(a decrease &gt;75</w:t>
      </w:r>
      <w:r w:rsidR="00AC2FD0" w:rsidRPr="00B815FC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100 mg/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dL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/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hr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is not recommended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because it has been associated with cerebral edema, especially in children. Continue the insulin infusion until the urine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ketones clear and the anion gap closes.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B815FC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Give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long-acting insulin 1</w:t>
      </w:r>
      <w:r w:rsidR="00AC2FD0" w:rsidRPr="004B0160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3 hours before discontinuing the insulin infusion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 Perform hourly bedside monitoring of glucose and frequent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monitoring of potassium (every 2</w:t>
      </w:r>
      <w:r w:rsidR="00AC2FD0" w:rsidRPr="00B815FC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4 hours).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4B0160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Treatment with bicarbonate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to correct the acidosis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is generally not needed and may be harmful.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1375" w:rsidRDefault="00250870" w:rsidP="002508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It is essential to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correct the underlying situation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or medical condition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that precipitated DKA.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Metabolic improvement is manifested by an increase in serum bicarbonate and 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pH.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341375" w:rsidRDefault="00AC2FD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41375">
        <w:rPr>
          <w:rFonts w:asciiTheme="majorBidi" w:hAnsiTheme="majorBidi" w:cstheme="majorBidi"/>
          <w:b/>
          <w:bCs/>
          <w:color w:val="FF0000"/>
          <w:sz w:val="32"/>
          <w:szCs w:val="32"/>
        </w:rPr>
        <w:t>Hyperosmolar Hyperglycemic State (HHS)</w:t>
      </w:r>
    </w:p>
    <w:p w:rsidR="00341375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HHS is a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potentially life-threatening acute complication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of diabetes associated with very high glucose concentrations, typically &gt;400 mg/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dL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B815FC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It usually occurs in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older patients with type 2 DM or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in younger patients with prolonged hyperglycemia and dehydration or significant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renal insufficiency.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4B0160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 presentation is similar to DKA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but HHS patients usually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have much higher BG, elevated serum osmolality, and little to no </w:t>
      </w:r>
      <w:proofErr w:type="spellStart"/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ketonuria</w:t>
      </w:r>
      <w:proofErr w:type="spellEnd"/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or</w:t>
      </w:r>
      <w:r w:rsidR="00341375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ketonemia</w:t>
      </w:r>
      <w:proofErr w:type="spellEnd"/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50870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4-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HHS typically evolves over several days to weeks, whereas DKA evolves much faster. </w:t>
      </w:r>
    </w:p>
    <w:p w:rsidR="00AC2FD0" w:rsidRPr="00B815FC" w:rsidRDefault="00250870" w:rsidP="002508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Large 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ketonemia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is not usually seen because residual insulin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secretion suppresses lipolysis. Infection or another medical illness is the usual precipitant.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B815FC" w:rsidRDefault="00250870" w:rsidP="002508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Fluid deficits are often greater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BG levels higher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sometimes &gt;1000 mg/</w:t>
      </w:r>
      <w:r>
        <w:rPr>
          <w:rFonts w:asciiTheme="majorBidi" w:hAnsiTheme="majorBidi" w:cstheme="majorBidi"/>
          <w:color w:val="333333"/>
          <w:sz w:val="28"/>
          <w:szCs w:val="28"/>
        </w:rPr>
        <w:t>d</w:t>
      </w:r>
      <w:r w:rsidR="00341375" w:rsidRPr="00B815FC">
        <w:rPr>
          <w:rFonts w:asciiTheme="majorBidi" w:hAnsiTheme="majorBidi" w:cstheme="majorBidi"/>
          <w:color w:val="333333"/>
          <w:sz w:val="28"/>
          <w:szCs w:val="28"/>
        </w:rPr>
        <w:t>l</w:t>
      </w:r>
      <w:r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in patients with HHS than in patients with DKA.</w:t>
      </w:r>
    </w:p>
    <w:p w:rsidR="00341375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AC2FD0" w:rsidRPr="00B815FC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BG should be lowered very gradually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with hypotonic fluids and low-dose insulin infusions (1</w:t>
      </w:r>
      <w:r w:rsidR="00AC2FD0" w:rsidRPr="00B815FC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2 units/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hr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).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C60670" w:rsidRDefault="00AC2FD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proofErr w:type="spellStart"/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Macrovascular</w:t>
      </w:r>
      <w:proofErr w:type="spellEnd"/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Complications</w:t>
      </w:r>
    </w:p>
    <w:p w:rsidR="00AC2FD0" w:rsidRPr="004B0160" w:rsidRDefault="0025087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Macrovascular complications (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CHD, stroke)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are the leading causes of death in people with diabetes.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1375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 ADA recommends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low-dose aspirin therapy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(75</w:t>
      </w:r>
      <w:r w:rsidR="00AC2FD0" w:rsidRPr="00B815FC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162 mg daily)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in all patients with established ASCVD.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Clopidogrel may be used in patients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allergic to aspirin.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4B0160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 role of antiplatelet therapy for primary CV prevention is unclear because the benefits may be offset by a higher risk of bleeding;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some practice guidelines recommend aspirin if the 10-year risk of a CV event is &gt;20%.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4B0160" w:rsidRDefault="0025087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In patients with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established ASCVD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use of a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GLP1-RA or an SGLT-2 inhibitor should be strongly considered.</w:t>
      </w:r>
    </w:p>
    <w:p w:rsidR="00250870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341375" w:rsidRDefault="00250870" w:rsidP="004B01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For all patients whose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BP exceeds 120/80 mm Hg,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the ADA recommends dietary changes, physical activity, and weight loss in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overweight or obese patients.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B815FC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Drug therapy using agents proven to reduce CV events should be started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for BP &gt;140/90 mm Hg.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A combination of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two medications should be used for BP &gt;160/100 mm Hg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1375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Initiate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high-intensity statin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therapy in all patients with diabetes and preexisting ASCVD regardless of baseline lipid levels. In the absence of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ASCVD, prescribe a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moderate-intensity statin t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o all patients with type 1 or type 2 DM over the age of 40.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1375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In patients &lt;40 years of age, a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moderate</w:t>
      </w:r>
      <w:r w:rsidR="00341375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intensity</w:t>
      </w:r>
      <w:r w:rsidR="00341375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statin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may be appropriate for patients with multiple CV risk factors.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50870" w:rsidRDefault="0025087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fibrate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fenofibrate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),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omega-3 fatty acid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or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niacin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can be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added for patients with marked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hypertriglyceridemia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250870" w:rsidRDefault="00250870" w:rsidP="002508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AC2FD0" w:rsidRPr="00B815FC" w:rsidRDefault="00250870" w:rsidP="004B01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10-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Peripheral arterial disease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can lead to claudication, 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nonhealing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foot ulcers, and limb amputation. Smoking cessation, statin therapy, good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glycemic control, and antiplatelet therapy are important strategies. </w:t>
      </w:r>
      <w:proofErr w:type="spellStart"/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Cilostazol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may be useful in select patients to reduce symptoms.</w:t>
      </w:r>
      <w:r w:rsidR="004B016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Revascularization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surgery can be considered in some situations. Perform foot examinations during each face-to-face patient encounter and a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yearly </w:t>
      </w:r>
      <w:r w:rsidR="00AC2FD0" w:rsidRPr="004B0160">
        <w:rPr>
          <w:rFonts w:asciiTheme="majorBidi" w:hAnsiTheme="majorBidi" w:cstheme="majorBidi"/>
          <w:b/>
          <w:bCs/>
          <w:color w:val="333333"/>
          <w:sz w:val="28"/>
          <w:szCs w:val="28"/>
        </w:rPr>
        <w:t>monofilament test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to assess for loss of protective sensation to identify high-risk patients.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C60670" w:rsidRDefault="00AC2FD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proofErr w:type="spellStart"/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Microvascular</w:t>
      </w:r>
      <w:proofErr w:type="spellEnd"/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Complications</w:t>
      </w:r>
    </w:p>
    <w:p w:rsidR="00AC2FD0" w:rsidRPr="00B815FC" w:rsidRDefault="00AC2FD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Efforts to improve glucose control significantly reduce the risk of developing </w:t>
      </w:r>
      <w:proofErr w:type="spellStart"/>
      <w:r w:rsidRPr="00B815FC">
        <w:rPr>
          <w:rFonts w:asciiTheme="majorBidi" w:hAnsiTheme="majorBidi" w:cstheme="majorBidi"/>
          <w:color w:val="333333"/>
          <w:sz w:val="28"/>
          <w:szCs w:val="28"/>
        </w:rPr>
        <w:t>microvascular</w:t>
      </w:r>
      <w:proofErr w:type="spellEnd"/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complications and slow their progression.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B2091" w:rsidRPr="000B2091" w:rsidRDefault="00AC2FD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0B2091">
        <w:rPr>
          <w:rFonts w:asciiTheme="majorBidi" w:hAnsiTheme="majorBidi" w:cstheme="majorBidi"/>
          <w:b/>
          <w:bCs/>
          <w:color w:val="0000FF"/>
          <w:sz w:val="32"/>
          <w:szCs w:val="32"/>
        </w:rPr>
        <w:lastRenderedPageBreak/>
        <w:t xml:space="preserve">Nephropathy: </w:t>
      </w:r>
    </w:p>
    <w:p w:rsidR="00341375" w:rsidRDefault="000B2091" w:rsidP="000B20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Albuminuria is a marker of renal damage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can be predictive of end-stage renal disease. The ADA recommends screening for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albuminuria upon diagnosis in persons with type 2 DM.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B2091" w:rsidRDefault="000B2091" w:rsidP="000B20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Screening 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type 1 DM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should begin with puberty 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and after 5-years</w:t>
      </w:r>
      <w:r w:rsidR="00AC2FD0" w:rsidRPr="000B2091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’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disease duration.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0B2091" w:rsidRDefault="000B2091" w:rsidP="000B20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341375" w:rsidRDefault="000B2091" w:rsidP="000B20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BP control is important for preventing and slowing progression of nephropathy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ACE inhibitors and ARBs can slow the progression of renal disease in patients with diabetes.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1375" w:rsidRDefault="000B2091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Diuretics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are often necessary due to volume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expanded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states and are recommended 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second-line therapy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0B2091" w:rsidRDefault="000B2091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 ADA recommends a 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BP goal &lt;140/90 mm Hg in patients with nephropathy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but a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lower target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, &lt;130/80</w:t>
      </w:r>
      <w:r w:rsidRPr="000B209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>mm Hg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) 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if it can be achieved without undue burden or side effects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Three or more antihypertensives are often needed to reach</w:t>
      </w:r>
      <w:r w:rsidR="00341375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goal BP.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B2091" w:rsidRDefault="00AC2FD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0B2091">
        <w:rPr>
          <w:rFonts w:asciiTheme="majorBidi" w:hAnsiTheme="majorBidi" w:cstheme="majorBidi"/>
          <w:b/>
          <w:bCs/>
          <w:color w:val="0000FF"/>
          <w:sz w:val="32"/>
          <w:szCs w:val="32"/>
        </w:rPr>
        <w:t>Retinopathy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</w:p>
    <w:p w:rsidR="00341375" w:rsidRPr="000B2091" w:rsidRDefault="00661DAE" w:rsidP="000B20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Patients with diabetes should have 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routine dilated eye examinations to fully evaluate the retina.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1375" w:rsidRDefault="00661DAE" w:rsidP="00661DA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661DAE"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Early background retinopathy may</w:t>
      </w:r>
      <w:r w:rsidR="00341375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reverse with improved glycemic control and optimal BP control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. More advanced retinopathy will not fully regress with improved </w:t>
      </w:r>
      <w:proofErr w:type="spellStart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glycemia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, and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aggressive BG reductions may acutely worsen retinopathy.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1375" w:rsidRDefault="00661DAE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Laser photocoagulation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has markedly improved sight preservation.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Intravitreal</w:t>
      </w:r>
      <w:r w:rsidR="00341375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antivascular</w:t>
      </w:r>
      <w:proofErr w:type="spellEnd"/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endothelial growth factor (VEGF) therapy 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is also highly effective for sight preservation.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B815FC" w:rsidRDefault="00661DAE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Bevacizumab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(used off-label) and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ranibizumab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are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anti-VEGF monoclonal antibodies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proofErr w:type="spellStart"/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aflibercept</w:t>
      </w:r>
      <w:proofErr w:type="spellEnd"/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is a VEGF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decoy receptor</w:t>
      </w:r>
      <w:r w:rsidR="00AC2FD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341375" w:rsidRPr="00FF6119" w:rsidRDefault="00341375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0B2091" w:rsidRDefault="00AC2FD0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0B2091">
        <w:rPr>
          <w:rFonts w:asciiTheme="majorBidi" w:hAnsiTheme="majorBidi" w:cstheme="majorBidi"/>
          <w:b/>
          <w:bCs/>
          <w:color w:val="0000FF"/>
          <w:sz w:val="32"/>
          <w:szCs w:val="32"/>
        </w:rPr>
        <w:t>Neuropathy</w:t>
      </w:r>
      <w:r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:</w:t>
      </w:r>
    </w:p>
    <w:p w:rsidR="00AC2FD0" w:rsidRPr="00341375" w:rsidRDefault="00661DAE" w:rsidP="00B815FC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P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eripheral neuropathy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is the most common complication in patients with type 2 DM. </w:t>
      </w:r>
      <w:proofErr w:type="spellStart"/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Paresthesias</w:t>
      </w:r>
      <w:proofErr w:type="spellEnd"/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,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numbness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, or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pain</w:t>
      </w:r>
      <w:r w:rsidR="00341375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are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the predominant symptoms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. The feet are involved far more often than the hands.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Improved glycemic control is the primary treatment and</w:t>
      </w:r>
      <w:r w:rsidR="00341375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may alleviate some symptoms.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Pharmacologic therapy is symptomatic and includes low-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dose tricyclic antidepressants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(nortriptyline or</w:t>
      </w:r>
      <w:r w:rsidR="00341375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>desipramine</w:t>
      </w:r>
      <w:proofErr w:type="spellEnd"/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),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duloxetine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gabapentin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pregabalin</w:t>
      </w:r>
      <w:proofErr w:type="spellEnd"/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venlafaxine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topical capsaicin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AC2FD0"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tramadol</w:t>
      </w:r>
      <w:r w:rsidR="00AC2FD0" w:rsidRPr="00341375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C2FD0" w:rsidRPr="00341375" w:rsidRDefault="00AC2FD0" w:rsidP="00B815FC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proofErr w:type="spellStart"/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Gastroparesis</w:t>
      </w:r>
      <w:proofErr w:type="spellEnd"/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can be severe and debilitating. Improved glycemic control, discontinuation of medications that slow gastric motility, and use</w:t>
      </w:r>
      <w:r w:rsidR="00341375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of </w:t>
      </w:r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metoclopramide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or </w:t>
      </w:r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low-dose erythromycin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may be helpful.</w:t>
      </w:r>
    </w:p>
    <w:p w:rsidR="00AC2FD0" w:rsidRPr="00341375" w:rsidRDefault="00AC2FD0" w:rsidP="00B815FC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Diabetic diarrhea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is often </w:t>
      </w:r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nocturnal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and frequently responds to a 10- to 14-day course of an antibiotic such as </w:t>
      </w:r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doxycycline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or</w:t>
      </w:r>
      <w:r w:rsidR="00341375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metronidazole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Octreotide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may be useful in unresponsive cases.</w:t>
      </w:r>
    </w:p>
    <w:p w:rsidR="00AC2FD0" w:rsidRPr="00B815FC" w:rsidRDefault="00AC2FD0" w:rsidP="0034137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lastRenderedPageBreak/>
        <w:t>Orthostatic hypotension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may require mineralocorticoids (</w:t>
      </w:r>
      <w:proofErr w:type="spellStart"/>
      <w:r w:rsidRPr="00B815FC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fludrocortisone</w:t>
      </w:r>
      <w:r w:rsidRPr="00B815FC">
        <w:rPr>
          <w:rFonts w:asciiTheme="majorBidi" w:hAnsiTheme="majorBidi" w:cstheme="majorBidi"/>
          <w:color w:val="333333"/>
          <w:sz w:val="28"/>
          <w:szCs w:val="28"/>
        </w:rPr>
        <w:t>) or adrenergic agonists (</w:t>
      </w:r>
      <w:proofErr w:type="spellStart"/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midodrine</w:t>
      </w:r>
      <w:proofErr w:type="spellEnd"/>
      <w:r w:rsidRPr="00B815FC">
        <w:rPr>
          <w:rFonts w:asciiTheme="majorBidi" w:hAnsiTheme="majorBidi" w:cstheme="majorBidi"/>
          <w:color w:val="333333"/>
          <w:sz w:val="28"/>
          <w:szCs w:val="28"/>
        </w:rPr>
        <w:t>).</w:t>
      </w:r>
    </w:p>
    <w:p w:rsidR="00AC2FD0" w:rsidRPr="00341375" w:rsidRDefault="00AC2FD0" w:rsidP="00AC2FD0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Erectile dysfunction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is common, and initial therapy should include a trial of an oral phosphodiesterase-5 inhibitor (</w:t>
      </w:r>
      <w:proofErr w:type="spellStart"/>
      <w:r w:rsidRPr="00341375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sildenafil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341375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vardenafil</w:t>
      </w:r>
      <w:proofErr w:type="spellEnd"/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, or </w:t>
      </w:r>
      <w:proofErr w:type="spellStart"/>
      <w:r w:rsidRPr="00661DAE">
        <w:rPr>
          <w:rFonts w:asciiTheme="majorBidi" w:hAnsiTheme="majorBidi" w:cstheme="majorBidi"/>
          <w:b/>
          <w:bCs/>
          <w:color w:val="333333"/>
          <w:sz w:val="28"/>
          <w:szCs w:val="28"/>
        </w:rPr>
        <w:t>tadalafil</w:t>
      </w:r>
      <w:proofErr w:type="spellEnd"/>
      <w:r w:rsidRPr="00341375">
        <w:rPr>
          <w:rFonts w:asciiTheme="majorBidi" w:hAnsiTheme="majorBidi" w:cstheme="majorBidi"/>
          <w:color w:val="333333"/>
          <w:sz w:val="28"/>
          <w:szCs w:val="28"/>
        </w:rPr>
        <w:t>).</w:t>
      </w:r>
    </w:p>
    <w:p w:rsidR="006476C0" w:rsidRPr="00FF6119" w:rsidRDefault="006476C0" w:rsidP="006476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22299" w:rsidRDefault="00022299" w:rsidP="006476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E</w:t>
      </w:r>
      <w:r w:rsidRPr="00022299">
        <w:rPr>
          <w:rFonts w:asciiTheme="majorBidi" w:hAnsiTheme="majorBidi" w:cstheme="majorBidi"/>
          <w:b/>
          <w:bCs/>
          <w:color w:val="0000FF"/>
          <w:sz w:val="32"/>
          <w:szCs w:val="32"/>
        </w:rPr>
        <w:t>valuation of therapeutic outcomes</w:t>
      </w:r>
    </w:p>
    <w:p w:rsidR="00AC2FD0" w:rsidRPr="006366BA" w:rsidRDefault="00FF6119" w:rsidP="00FF61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C2FD0" w:rsidRPr="00FF6119">
        <w:rPr>
          <w:rFonts w:asciiTheme="majorBidi" w:hAnsiTheme="majorBidi" w:cstheme="majorBidi"/>
          <w:b/>
          <w:bCs/>
          <w:color w:val="333333"/>
          <w:sz w:val="28"/>
          <w:szCs w:val="28"/>
        </w:rPr>
        <w:t>Measure A1C every 3</w:t>
      </w:r>
      <w:r w:rsidR="00AC2FD0" w:rsidRPr="00FF6119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AC2FD0" w:rsidRPr="00FF6119">
        <w:rPr>
          <w:rFonts w:asciiTheme="majorBidi" w:hAnsiTheme="majorBidi" w:cstheme="majorBidi"/>
          <w:b/>
          <w:bCs/>
          <w:color w:val="333333"/>
          <w:sz w:val="28"/>
          <w:szCs w:val="28"/>
        </w:rPr>
        <w:t>6 months to follow long-term glycemic control for the previous 2</w:t>
      </w:r>
      <w:r w:rsidR="00AC2FD0" w:rsidRPr="00FF6119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AC2FD0" w:rsidRPr="00FF6119">
        <w:rPr>
          <w:rFonts w:asciiTheme="majorBidi" w:hAnsiTheme="majorBidi" w:cstheme="majorBidi"/>
          <w:b/>
          <w:bCs/>
          <w:color w:val="333333"/>
          <w:sz w:val="28"/>
          <w:szCs w:val="28"/>
        </w:rPr>
        <w:t>3 months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341375" w:rsidRPr="00FF6119" w:rsidRDefault="00341375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1375" w:rsidRDefault="00FF6119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C2FD0" w:rsidRPr="00FF6119">
        <w:rPr>
          <w:rFonts w:asciiTheme="majorBidi" w:hAnsiTheme="majorBidi" w:cstheme="majorBidi"/>
          <w:b/>
          <w:bCs/>
          <w:color w:val="333333"/>
          <w:sz w:val="28"/>
          <w:szCs w:val="28"/>
        </w:rPr>
        <w:t>SMBG provides an opportunity to adjust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medications, food intake, or physical activity and enables patients to detect hypoglycemia.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1375" w:rsidRDefault="00FF6119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>For patients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with type 1 DM, </w:t>
      </w:r>
      <w:r w:rsidR="00AC2FD0" w:rsidRPr="00FF6119">
        <w:rPr>
          <w:rFonts w:asciiTheme="majorBidi" w:hAnsiTheme="majorBidi" w:cstheme="majorBidi"/>
          <w:b/>
          <w:bCs/>
          <w:color w:val="333333"/>
          <w:sz w:val="28"/>
          <w:szCs w:val="28"/>
        </w:rPr>
        <w:t>SMBG is typically performed 4</w:t>
      </w:r>
      <w:r w:rsidR="00AC2FD0" w:rsidRPr="00FF6119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AC2FD0" w:rsidRPr="00FF6119">
        <w:rPr>
          <w:rFonts w:asciiTheme="majorBidi" w:hAnsiTheme="majorBidi" w:cstheme="majorBidi"/>
          <w:b/>
          <w:bCs/>
          <w:color w:val="333333"/>
          <w:sz w:val="28"/>
          <w:szCs w:val="28"/>
        </w:rPr>
        <w:t>6 times per day</w:t>
      </w:r>
      <w:r w:rsidR="00AC2FD0" w:rsidRPr="006366BA">
        <w:rPr>
          <w:rFonts w:asciiTheme="majorBidi" w:hAnsiTheme="majorBidi" w:cstheme="majorBidi" w:hint="cs"/>
          <w:color w:val="333333"/>
          <w:sz w:val="28"/>
          <w:szCs w:val="28"/>
        </w:rPr>
        <w:t>—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prior to food intake and physical activity and at bedtime. </w:t>
      </w:r>
    </w:p>
    <w:p w:rsidR="00341375" w:rsidRPr="00FF6119" w:rsidRDefault="00341375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C2FD0" w:rsidRPr="006366BA" w:rsidRDefault="00FF6119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The optimal </w:t>
      </w:r>
      <w:r w:rsidR="00AC2FD0" w:rsidRPr="00FF6119">
        <w:rPr>
          <w:rFonts w:asciiTheme="majorBidi" w:hAnsiTheme="majorBidi" w:cstheme="majorBidi"/>
          <w:b/>
          <w:bCs/>
          <w:color w:val="333333"/>
          <w:sz w:val="28"/>
          <w:szCs w:val="28"/>
        </w:rPr>
        <w:t>frequency of</w:t>
      </w:r>
      <w:r w:rsidR="00341375" w:rsidRPr="00FF611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C2FD0" w:rsidRPr="00FF6119">
        <w:rPr>
          <w:rFonts w:asciiTheme="majorBidi" w:hAnsiTheme="majorBidi" w:cstheme="majorBidi"/>
          <w:b/>
          <w:bCs/>
          <w:color w:val="333333"/>
          <w:sz w:val="28"/>
          <w:szCs w:val="28"/>
        </w:rPr>
        <w:t>SMBG in patients with type 2 DM on oral agents is controversial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FF6119" w:rsidRDefault="00FF6119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FF6119" w:rsidRDefault="00FF6119" w:rsidP="00FF61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AC2FD0" w:rsidRPr="00FF6119">
        <w:rPr>
          <w:rFonts w:asciiTheme="majorBidi" w:hAnsiTheme="majorBidi" w:cstheme="majorBidi"/>
          <w:b/>
          <w:bCs/>
          <w:color w:val="333333"/>
          <w:sz w:val="28"/>
          <w:szCs w:val="28"/>
        </w:rPr>
        <w:t>At each visit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ask patients with type 1 DM </w:t>
      </w:r>
      <w:r w:rsidR="00AC2FD0" w:rsidRPr="00FF6119">
        <w:rPr>
          <w:rFonts w:asciiTheme="majorBidi" w:hAnsiTheme="majorBidi" w:cstheme="majorBidi"/>
          <w:b/>
          <w:bCs/>
          <w:color w:val="333333"/>
          <w:sz w:val="28"/>
          <w:szCs w:val="28"/>
        </w:rPr>
        <w:t>about the frequency and severity of hypoglycemia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FF6119" w:rsidRDefault="00FF6119" w:rsidP="00FF61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AC2FD0" w:rsidRPr="006366BA" w:rsidRDefault="00FF6119" w:rsidP="00FF61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>Screen for complications at the time of diagnosis and thereafter as follows:</w:t>
      </w:r>
    </w:p>
    <w:p w:rsidR="00AC2FD0" w:rsidRPr="00341375" w:rsidRDefault="00AC2FD0" w:rsidP="00341375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Obtain yearly dilated </w:t>
      </w:r>
      <w:r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eye exams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in type 2 DM and an initial exam in the first 5 years in type 1 DM, then yearly.</w:t>
      </w:r>
    </w:p>
    <w:p w:rsidR="00AC2FD0" w:rsidRPr="006366BA" w:rsidRDefault="00AC2FD0" w:rsidP="00341375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Assess </w:t>
      </w:r>
      <w:r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BP at each visit</w:t>
      </w:r>
      <w:r w:rsidRPr="006366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C2FD0" w:rsidRPr="000B2091" w:rsidRDefault="00AC2FD0" w:rsidP="000B2091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Examine the feet at each visit</w:t>
      </w:r>
      <w:r w:rsidR="000B2091" w:rsidRPr="000B2091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Pr="000B2091">
        <w:rPr>
          <w:rFonts w:asciiTheme="majorBidi" w:hAnsiTheme="majorBidi" w:cstheme="majorBidi"/>
          <w:color w:val="333333"/>
          <w:sz w:val="28"/>
          <w:szCs w:val="28"/>
        </w:rPr>
        <w:t>Screen for pedal sensory loss annually.</w:t>
      </w:r>
    </w:p>
    <w:p w:rsidR="00AC2FD0" w:rsidRPr="00341375" w:rsidRDefault="00AC2FD0" w:rsidP="006366BA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Screen for albuminuria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at the time of diagnosis in patients with type 2 DM and 5 years after diagnosis in type 1 DM. At least once a year,</w:t>
      </w:r>
      <w:r w:rsidR="00341375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assess urinary albumin (urine albumin-to-creatinine ratio) and </w:t>
      </w:r>
      <w:proofErr w:type="spellStart"/>
      <w:r w:rsidRPr="00341375">
        <w:rPr>
          <w:rFonts w:asciiTheme="majorBidi" w:hAnsiTheme="majorBidi" w:cstheme="majorBidi"/>
          <w:color w:val="333333"/>
          <w:sz w:val="28"/>
          <w:szCs w:val="28"/>
        </w:rPr>
        <w:t>eGFR</w:t>
      </w:r>
      <w:proofErr w:type="spellEnd"/>
      <w:r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in all patients with type 2 DM and in patients with type 1 DM for at least 5</w:t>
      </w:r>
      <w:r w:rsidR="00341375" w:rsidRP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341375">
        <w:rPr>
          <w:rFonts w:asciiTheme="majorBidi" w:hAnsiTheme="majorBidi" w:cstheme="majorBidi"/>
          <w:color w:val="333333"/>
          <w:sz w:val="28"/>
          <w:szCs w:val="28"/>
        </w:rPr>
        <w:t>years.</w:t>
      </w:r>
    </w:p>
    <w:p w:rsidR="00AC2FD0" w:rsidRPr="006366BA" w:rsidRDefault="00AC2FD0" w:rsidP="00341375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Check fasting lipid panel annually</w:t>
      </w:r>
      <w:r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if the patient is on lipid-lowering therapy.</w:t>
      </w:r>
    </w:p>
    <w:p w:rsidR="00341375" w:rsidRPr="00FF6119" w:rsidRDefault="00341375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527DA" w:rsidRDefault="000B2091" w:rsidP="00341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Administer an 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annual influenza vaccine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and assess for administration of the </w:t>
      </w:r>
      <w:r w:rsidR="00AC2FD0" w:rsidRPr="000B2091">
        <w:rPr>
          <w:rFonts w:asciiTheme="majorBidi" w:hAnsiTheme="majorBidi" w:cstheme="majorBidi"/>
          <w:b/>
          <w:bCs/>
          <w:color w:val="333333"/>
          <w:sz w:val="28"/>
          <w:szCs w:val="28"/>
        </w:rPr>
        <w:t>pneumococcal vaccine and hepatitis B vaccine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series along with</w:t>
      </w:r>
      <w:r w:rsidR="0034137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>management of other CV risk factors (</w:t>
      </w:r>
      <w:proofErr w:type="spellStart"/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C2FD0" w:rsidRPr="006366BA">
        <w:rPr>
          <w:rFonts w:asciiTheme="majorBidi" w:hAnsiTheme="majorBidi" w:cstheme="majorBidi"/>
          <w:color w:val="333333"/>
          <w:sz w:val="28"/>
          <w:szCs w:val="28"/>
        </w:rPr>
        <w:t>, smoking).</w:t>
      </w:r>
    </w:p>
    <w:p w:rsidR="006366BA" w:rsidRPr="00FF6119" w:rsidRDefault="006366BA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:rsidR="00B527DA" w:rsidRP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</w:t>
      </w:r>
    </w:p>
    <w:p w:rsidR="00B527DA" w:rsidRP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11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Edition. 2021.</w:t>
      </w:r>
    </w:p>
    <w:sectPr w:rsidR="00B527DA" w:rsidRPr="00B527DA" w:rsidSect="0045125D">
      <w:footerReference w:type="default" r:id="rId9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C7" w:rsidRDefault="006770C7" w:rsidP="009C79FE">
      <w:pPr>
        <w:spacing w:after="0" w:line="240" w:lineRule="auto"/>
      </w:pPr>
      <w:r>
        <w:separator/>
      </w:r>
    </w:p>
  </w:endnote>
  <w:endnote w:type="continuationSeparator" w:id="0">
    <w:p w:rsidR="006770C7" w:rsidRDefault="006770C7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375" w:rsidRDefault="003413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160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41375" w:rsidRDefault="00341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C7" w:rsidRDefault="006770C7" w:rsidP="009C79FE">
      <w:pPr>
        <w:spacing w:after="0" w:line="240" w:lineRule="auto"/>
      </w:pPr>
      <w:r>
        <w:separator/>
      </w:r>
    </w:p>
  </w:footnote>
  <w:footnote w:type="continuationSeparator" w:id="0">
    <w:p w:rsidR="006770C7" w:rsidRDefault="006770C7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257A5"/>
    <w:multiLevelType w:val="hybridMultilevel"/>
    <w:tmpl w:val="0E4C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B5338E"/>
    <w:multiLevelType w:val="hybridMultilevel"/>
    <w:tmpl w:val="3326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359E7"/>
    <w:multiLevelType w:val="hybridMultilevel"/>
    <w:tmpl w:val="CD9EC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73D0D"/>
    <w:multiLevelType w:val="hybridMultilevel"/>
    <w:tmpl w:val="9518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5A736C"/>
    <w:multiLevelType w:val="hybridMultilevel"/>
    <w:tmpl w:val="91804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477EB"/>
    <w:multiLevelType w:val="hybridMultilevel"/>
    <w:tmpl w:val="92B4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D1A3C"/>
    <w:multiLevelType w:val="hybridMultilevel"/>
    <w:tmpl w:val="70F8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EB71E3"/>
    <w:multiLevelType w:val="hybridMultilevel"/>
    <w:tmpl w:val="DE20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17"/>
  </w:num>
  <w:num w:numId="11">
    <w:abstractNumId w:val="12"/>
  </w:num>
  <w:num w:numId="12">
    <w:abstractNumId w:val="2"/>
  </w:num>
  <w:num w:numId="13">
    <w:abstractNumId w:val="6"/>
  </w:num>
  <w:num w:numId="14">
    <w:abstractNumId w:val="14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22299"/>
    <w:rsid w:val="000746CE"/>
    <w:rsid w:val="00085EC1"/>
    <w:rsid w:val="000A39DD"/>
    <w:rsid w:val="000B2091"/>
    <w:rsid w:val="000D6AAF"/>
    <w:rsid w:val="000F5D8E"/>
    <w:rsid w:val="00126BAA"/>
    <w:rsid w:val="001369C1"/>
    <w:rsid w:val="001467B2"/>
    <w:rsid w:val="0018108D"/>
    <w:rsid w:val="001835C9"/>
    <w:rsid w:val="001A0CEA"/>
    <w:rsid w:val="001A4491"/>
    <w:rsid w:val="001B3715"/>
    <w:rsid w:val="001C7900"/>
    <w:rsid w:val="001E6AD2"/>
    <w:rsid w:val="001F3F9F"/>
    <w:rsid w:val="00202D23"/>
    <w:rsid w:val="0023109D"/>
    <w:rsid w:val="00240FC2"/>
    <w:rsid w:val="00250870"/>
    <w:rsid w:val="00293D7B"/>
    <w:rsid w:val="002A56DF"/>
    <w:rsid w:val="002F42C5"/>
    <w:rsid w:val="00307E17"/>
    <w:rsid w:val="00324617"/>
    <w:rsid w:val="00324E72"/>
    <w:rsid w:val="003310D9"/>
    <w:rsid w:val="00337A94"/>
    <w:rsid w:val="00341375"/>
    <w:rsid w:val="00347D77"/>
    <w:rsid w:val="00394517"/>
    <w:rsid w:val="003C1E95"/>
    <w:rsid w:val="003D563D"/>
    <w:rsid w:val="003F1A57"/>
    <w:rsid w:val="003F21B7"/>
    <w:rsid w:val="003F5F6F"/>
    <w:rsid w:val="003F7B07"/>
    <w:rsid w:val="00405882"/>
    <w:rsid w:val="00420C39"/>
    <w:rsid w:val="00423E59"/>
    <w:rsid w:val="00430B69"/>
    <w:rsid w:val="00432419"/>
    <w:rsid w:val="00432451"/>
    <w:rsid w:val="0045071B"/>
    <w:rsid w:val="0045125D"/>
    <w:rsid w:val="004722A3"/>
    <w:rsid w:val="004752B9"/>
    <w:rsid w:val="0048401C"/>
    <w:rsid w:val="00487060"/>
    <w:rsid w:val="004A73A6"/>
    <w:rsid w:val="004B0160"/>
    <w:rsid w:val="004B2945"/>
    <w:rsid w:val="004B6F1E"/>
    <w:rsid w:val="004E1DCC"/>
    <w:rsid w:val="00516926"/>
    <w:rsid w:val="005627C5"/>
    <w:rsid w:val="00583888"/>
    <w:rsid w:val="005C3F80"/>
    <w:rsid w:val="005D1A07"/>
    <w:rsid w:val="005D3E7B"/>
    <w:rsid w:val="0063410E"/>
    <w:rsid w:val="006366BA"/>
    <w:rsid w:val="006476C0"/>
    <w:rsid w:val="0065062A"/>
    <w:rsid w:val="00653546"/>
    <w:rsid w:val="00655FED"/>
    <w:rsid w:val="00660CED"/>
    <w:rsid w:val="00661DAE"/>
    <w:rsid w:val="006770C7"/>
    <w:rsid w:val="00690A20"/>
    <w:rsid w:val="006D0591"/>
    <w:rsid w:val="00701BAE"/>
    <w:rsid w:val="00721505"/>
    <w:rsid w:val="007404A7"/>
    <w:rsid w:val="00741490"/>
    <w:rsid w:val="00747F03"/>
    <w:rsid w:val="00761A5B"/>
    <w:rsid w:val="007621C3"/>
    <w:rsid w:val="00773A31"/>
    <w:rsid w:val="007A0A8A"/>
    <w:rsid w:val="007B6004"/>
    <w:rsid w:val="007E68A8"/>
    <w:rsid w:val="007F19A1"/>
    <w:rsid w:val="00804049"/>
    <w:rsid w:val="00804825"/>
    <w:rsid w:val="0085023D"/>
    <w:rsid w:val="00891F2A"/>
    <w:rsid w:val="008B4BC1"/>
    <w:rsid w:val="008D2536"/>
    <w:rsid w:val="008D5E15"/>
    <w:rsid w:val="008D7966"/>
    <w:rsid w:val="008E28D7"/>
    <w:rsid w:val="00926008"/>
    <w:rsid w:val="009608D6"/>
    <w:rsid w:val="009740EA"/>
    <w:rsid w:val="00987645"/>
    <w:rsid w:val="009B0D47"/>
    <w:rsid w:val="009B224B"/>
    <w:rsid w:val="009C4D71"/>
    <w:rsid w:val="009C79FE"/>
    <w:rsid w:val="009D31BD"/>
    <w:rsid w:val="009E60CC"/>
    <w:rsid w:val="00A07CCC"/>
    <w:rsid w:val="00A14EA8"/>
    <w:rsid w:val="00A26085"/>
    <w:rsid w:val="00A4401F"/>
    <w:rsid w:val="00A5155A"/>
    <w:rsid w:val="00A532FE"/>
    <w:rsid w:val="00A7600B"/>
    <w:rsid w:val="00A8009A"/>
    <w:rsid w:val="00A83FB6"/>
    <w:rsid w:val="00A966DA"/>
    <w:rsid w:val="00A969AE"/>
    <w:rsid w:val="00AB66BE"/>
    <w:rsid w:val="00AC2FD0"/>
    <w:rsid w:val="00AD10F0"/>
    <w:rsid w:val="00AD3BD4"/>
    <w:rsid w:val="00AD761C"/>
    <w:rsid w:val="00AE1E84"/>
    <w:rsid w:val="00AF560B"/>
    <w:rsid w:val="00B17CB0"/>
    <w:rsid w:val="00B503F7"/>
    <w:rsid w:val="00B527DA"/>
    <w:rsid w:val="00B54AD8"/>
    <w:rsid w:val="00B55260"/>
    <w:rsid w:val="00B75789"/>
    <w:rsid w:val="00B815FC"/>
    <w:rsid w:val="00B834B0"/>
    <w:rsid w:val="00B94318"/>
    <w:rsid w:val="00BD69C4"/>
    <w:rsid w:val="00BE6797"/>
    <w:rsid w:val="00BF062B"/>
    <w:rsid w:val="00C2374F"/>
    <w:rsid w:val="00C3347D"/>
    <w:rsid w:val="00C35779"/>
    <w:rsid w:val="00C60670"/>
    <w:rsid w:val="00C75F21"/>
    <w:rsid w:val="00CB0602"/>
    <w:rsid w:val="00CD0420"/>
    <w:rsid w:val="00D06001"/>
    <w:rsid w:val="00D06DBA"/>
    <w:rsid w:val="00D16656"/>
    <w:rsid w:val="00D16FD5"/>
    <w:rsid w:val="00D35FDB"/>
    <w:rsid w:val="00D4331A"/>
    <w:rsid w:val="00D85713"/>
    <w:rsid w:val="00DA6BB8"/>
    <w:rsid w:val="00DD24DE"/>
    <w:rsid w:val="00DD3B5C"/>
    <w:rsid w:val="00DD3E17"/>
    <w:rsid w:val="00DD4C24"/>
    <w:rsid w:val="00E0566E"/>
    <w:rsid w:val="00E05705"/>
    <w:rsid w:val="00E26382"/>
    <w:rsid w:val="00E407F9"/>
    <w:rsid w:val="00E67F14"/>
    <w:rsid w:val="00E70BB6"/>
    <w:rsid w:val="00E7219D"/>
    <w:rsid w:val="00E90342"/>
    <w:rsid w:val="00EA27D9"/>
    <w:rsid w:val="00EA3500"/>
    <w:rsid w:val="00EB0B76"/>
    <w:rsid w:val="00EB1305"/>
    <w:rsid w:val="00EF71B5"/>
    <w:rsid w:val="00F00195"/>
    <w:rsid w:val="00F0769C"/>
    <w:rsid w:val="00F27D50"/>
    <w:rsid w:val="00F51847"/>
    <w:rsid w:val="00F73EC3"/>
    <w:rsid w:val="00FA2811"/>
    <w:rsid w:val="00FC7499"/>
    <w:rsid w:val="00FD09C5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0C16D-0DFE-4E7B-B089-6C741985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47</cp:revision>
  <dcterms:created xsi:type="dcterms:W3CDTF">2020-05-04T12:27:00Z</dcterms:created>
  <dcterms:modified xsi:type="dcterms:W3CDTF">2022-02-08T20:55:00Z</dcterms:modified>
</cp:coreProperties>
</file>