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81"/>
        <w:bidiVisual/>
        <w:tblW w:w="2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E0566E" w:rsidRPr="0045125D" w:rsidTr="0045125D">
        <w:trPr>
          <w:trHeight w:val="664"/>
        </w:trPr>
        <w:tc>
          <w:tcPr>
            <w:tcW w:w="2268" w:type="dxa"/>
            <w:shd w:val="clear" w:color="auto" w:fill="auto"/>
          </w:tcPr>
          <w:p w:rsidR="00E0566E" w:rsidRPr="0045125D" w:rsidRDefault="00E0566E" w:rsidP="0045125D">
            <w:pPr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tabs>
                <w:tab w:val="right" w:pos="21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512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صيدلة سريرية</w:t>
            </w:r>
          </w:p>
          <w:p w:rsidR="00E0566E" w:rsidRPr="0045125D" w:rsidRDefault="00E0566E" w:rsidP="0045125D">
            <w:pPr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tabs>
                <w:tab w:val="right" w:pos="21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4512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د. ضياء جبا</w:t>
            </w:r>
            <w:r w:rsidRPr="0045125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IQ"/>
              </w:rPr>
              <w:t>ر</w:t>
            </w:r>
          </w:p>
        </w:tc>
      </w:tr>
    </w:tbl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</w:t>
      </w:r>
      <w:r w:rsidR="00A14EA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A14EA8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6476C0" w:rsidRDefault="0045125D" w:rsidP="006476C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  </w:t>
      </w:r>
      <w:r w:rsidR="006476C0" w:rsidRPr="006476C0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Endocrine </w:t>
      </w:r>
      <w:r w:rsidR="00E0566E" w:rsidRPr="006476C0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disorders</w:t>
      </w:r>
    </w:p>
    <w:p w:rsidR="00E0566E" w:rsidRPr="006476C0" w:rsidRDefault="0045125D" w:rsidP="001A613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  </w:t>
      </w:r>
      <w:r w:rsidR="006476C0" w:rsidRPr="006476C0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Diabetes Mellitus</w:t>
      </w:r>
      <w:r w:rsidR="001A6137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="001A6137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Part I</w:t>
      </w:r>
      <w:r w:rsidRPr="006476C0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45125D" w:rsidRPr="000746CE" w:rsidRDefault="0045125D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Diabetes mellitus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(DM) is a 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group of metabolic disorders characterized by chronically elevated blood glucose (BG)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abnormal carbohydrate,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fat, and protein metabolism.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Without effective treatment, 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DM can lead to acute complications such as diabetic ketoacidosis (DKA)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hyperosmolar hyperglycemic syndrome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HHS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15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hyperglycemia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can cause </w:t>
      </w:r>
      <w:proofErr w:type="spellStart"/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microvascular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macrovascular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2D7B20">
        <w:rPr>
          <w:rFonts w:asciiTheme="majorBidi" w:hAnsiTheme="majorBidi" w:cstheme="majorBidi"/>
          <w:b/>
          <w:bCs/>
          <w:color w:val="333333"/>
          <w:sz w:val="28"/>
          <w:szCs w:val="28"/>
        </w:rPr>
        <w:t>neuropathic complications.</w:t>
      </w:r>
    </w:p>
    <w:p w:rsidR="00A14EA8" w:rsidRPr="002D7B20" w:rsidRDefault="00A14EA8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A14EA8" w:rsidRPr="00522985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Type 1 DM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(5%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10% of cases) usually results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from autoimmune destruction of pancreatic β-cells, leading to absolute deficiency of insulin.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It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usually presents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 children and adolescents but can occur at any age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The disorder is believed to be initiated by exposure to an unknown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environmental trigger in a genetically susceptible individual.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autoimmune process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is mediated by macrophages and T lymphocytes with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autoantibodies to β-cell antigens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islet cell antibody, insulin antibodies).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522985" w:rsidP="009006F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After the initial diagnosis,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 period of transient remission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called the 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honeymoon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phase may occur,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during which insulin doses can be</w:t>
      </w:r>
      <w:r w:rsidR="00A14EA8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 or withdrawn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before continued β-cell destruction requires lifelong insulin replacement therapy.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9006F1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Type 2 DM (90%</w:t>
      </w:r>
      <w:r w:rsidR="006476C0"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95% of cases) is characterized by multiple defects:</w:t>
      </w:r>
    </w:p>
    <w:p w:rsidR="006476C0" w:rsidRPr="00A14EA8" w:rsidRDefault="006476C0" w:rsidP="00A14EA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Impaired insulin secretion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: β-cell mass and function are both reduced, and β-cell failure is progressive.</w:t>
      </w:r>
    </w:p>
    <w:p w:rsidR="006476C0" w:rsidRPr="00A14EA8" w:rsidRDefault="006476C0" w:rsidP="00A14EA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Reduced </w:t>
      </w:r>
      <w:proofErr w:type="spellStart"/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incretin</w:t>
      </w:r>
      <w:proofErr w:type="spellEnd"/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effect: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Normally, the gut </w:t>
      </w:r>
      <w:proofErr w:type="spellStart"/>
      <w:r w:rsidRPr="00A14EA8">
        <w:rPr>
          <w:rFonts w:asciiTheme="majorBidi" w:hAnsiTheme="majorBidi" w:cstheme="majorBidi"/>
          <w:color w:val="333333"/>
          <w:sz w:val="28"/>
          <w:szCs w:val="28"/>
        </w:rPr>
        <w:t>incretin</w:t>
      </w:r>
      <w:proofErr w:type="spellEnd"/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hormones glucagon-like peptide-1 (GLP-1) and glucose-dependent </w:t>
      </w:r>
      <w:proofErr w:type="spellStart"/>
      <w:r w:rsidRPr="00A14EA8">
        <w:rPr>
          <w:rFonts w:asciiTheme="majorBidi" w:hAnsiTheme="majorBidi" w:cstheme="majorBidi"/>
          <w:color w:val="333333"/>
          <w:sz w:val="28"/>
          <w:szCs w:val="28"/>
        </w:rPr>
        <w:t>insulinotropic</w:t>
      </w:r>
      <w:proofErr w:type="spellEnd"/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peptide (GIP) are released and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stimulate insulin secretion in response to a meal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Patients with type 2 DM have a reduced </w:t>
      </w:r>
      <w:proofErr w:type="spellStart"/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incretin</w:t>
      </w:r>
      <w:proofErr w:type="spellEnd"/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effec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t due to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decreased concentrations of or resistance to the effects of </w:t>
      </w:r>
      <w:proofErr w:type="spellStart"/>
      <w:r w:rsidRPr="00A14EA8">
        <w:rPr>
          <w:rFonts w:asciiTheme="majorBidi" w:hAnsiTheme="majorBidi" w:cstheme="majorBidi"/>
          <w:color w:val="333333"/>
          <w:sz w:val="28"/>
          <w:szCs w:val="28"/>
        </w:rPr>
        <w:t>incretin</w:t>
      </w:r>
      <w:proofErr w:type="spellEnd"/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hormones.</w:t>
      </w:r>
    </w:p>
    <w:p w:rsidR="006476C0" w:rsidRPr="00A14EA8" w:rsidRDefault="006476C0" w:rsidP="006366BA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 resistance: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This is manifested by excessive hepatic glucose production, decreased skeletal muscle uptake of glucose, and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increased lipolysis and free fatty acid production.</w:t>
      </w:r>
    </w:p>
    <w:p w:rsidR="006476C0" w:rsidRPr="00A14EA8" w:rsidRDefault="006476C0" w:rsidP="006366BA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Excess glucagon secretion: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This occurs because type 2 DM patients fail to suppress glucagon in response to meals because of GLP-1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resistance/deficiency and insulin resistance/deficiency, which directly suppress glucagon.</w:t>
      </w:r>
    </w:p>
    <w:p w:rsidR="006476C0" w:rsidRPr="00A14EA8" w:rsidRDefault="006476C0" w:rsidP="006366BA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Sodium-glucose cotransporter-2 (SGLT-2) upregulation in the kidney: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This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increases reabsorption of glucose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by proximal renal tubular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4EA8">
        <w:rPr>
          <w:rFonts w:asciiTheme="majorBidi" w:hAnsiTheme="majorBidi" w:cstheme="majorBidi"/>
          <w:color w:val="333333"/>
          <w:sz w:val="28"/>
          <w:szCs w:val="28"/>
        </w:rPr>
        <w:t>cells, which further contributes to hyperglycemia.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Gestational diabetes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(GDM) is DM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that occurs in women during pregnancy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8-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Less common causes of DM (1%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2%) include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maturity onset diabetes of the young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MODY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),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genetic syndromes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Down syndrome),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endocrine</w:t>
      </w:r>
      <w:r w:rsidR="00A14EA8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disorders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acromegaly, Cushing syndrome),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pancreatic exocrine dysfunction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infections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medications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glucocorticoids, thiazides,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niacin, atypical antipsychotics).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Microvascular complications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retinopathy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neuropathy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nephropathy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522985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Macrovascular complications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coronary heart disease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(CHD),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stroke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peripheral vascular disease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476C0" w:rsidRPr="002D7B20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6476C0" w:rsidRPr="00A14EA8" w:rsidRDefault="006476C0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A14EA8">
        <w:rPr>
          <w:rFonts w:asciiTheme="majorBidi" w:hAnsiTheme="majorBidi" w:cstheme="majorBidi"/>
          <w:b/>
          <w:bCs/>
          <w:color w:val="3333FF"/>
          <w:sz w:val="32"/>
          <w:szCs w:val="32"/>
        </w:rPr>
        <w:t>Type 1 Diabetes Mellitus</w:t>
      </w: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Patients often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have symptoms in the days or weeks preceding the diagnosis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The most common initial symptoms are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polyuria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polydipsia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polyphagia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fatigue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lethargy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Individuals are often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thin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are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prone to develop DKA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 the absence of an adequate insulin supply; many patients initially present with DKA.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Symptom onset can be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triggered by infection, trauma, or psychological stress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A14EA8" w:rsidRDefault="006476C0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A14EA8">
        <w:rPr>
          <w:rFonts w:asciiTheme="majorBidi" w:hAnsiTheme="majorBidi" w:cstheme="majorBidi"/>
          <w:b/>
          <w:bCs/>
          <w:color w:val="3333FF"/>
          <w:sz w:val="32"/>
          <w:szCs w:val="32"/>
        </w:rPr>
        <w:t>Type 2 Diabetes Mellitus</w:t>
      </w:r>
    </w:p>
    <w:p w:rsidR="006476C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patients are asymptomatic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or have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only mild fatigue at the time of diagnosis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Many patients are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incidentally found to have type 2 DM after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routine laboratory testing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plasma glucose or A1C) or development of complications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myocardial infarction, stroke).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mild hyperglycemia may exist for years prior to the diagnosis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microvascular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macrovascular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complications are often present at the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time of diagnosis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5125D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patients are overweight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or obese with an elevated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waist:hip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ratio.</w:t>
      </w:r>
    </w:p>
    <w:p w:rsidR="000746CE" w:rsidRPr="002D7B20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0746CE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Normal fasting (no caloric intake for at least 8 hours) plasma glucose (FPG) is 70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99 mg/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Impaired fasting glucose (IFG) is FPG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100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125 mg/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Normal glucose tolerance based on a 2-hour post-load plasma glucose using the equivalent of 75 g anhydrous glucose dissolved in water (oral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glucose tolerance test or OGTT) is &lt;140 mg/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Impaired glucose tolerance (IGT) is OGTT 140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199 mg/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dL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Normal A1C is 4%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5.6%. Increased risk of DM (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prediabetes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) is A1C 5.7%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6.4%.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9006F1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Criteria for diagnosis of DM include any one of the following:</w:t>
      </w:r>
    </w:p>
    <w:p w:rsidR="006476C0" w:rsidRPr="009006F1" w:rsidRDefault="006476C0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1.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A1C </w:t>
      </w:r>
      <w:r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≥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6.5%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   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2.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FPG </w:t>
      </w:r>
      <w:r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≥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126 mg/</w:t>
      </w:r>
      <w:proofErr w:type="spellStart"/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proofErr w:type="spellEnd"/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  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3.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OGTT </w:t>
      </w:r>
      <w:r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≥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200 mg/</w:t>
      </w:r>
      <w:proofErr w:type="spellStart"/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proofErr w:type="spellEnd"/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4.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Random plasma glucose </w:t>
      </w:r>
      <w:r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≥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200 mg/</w:t>
      </w:r>
      <w:proofErr w:type="spellStart"/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proofErr w:type="spellEnd"/>
      <w:r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with 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classic symptoms of hyperglycemia or hyperglycemic crisis</w:t>
      </w:r>
      <w:r w:rsid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A14EA8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In the absence of unequivocal hyperglycemia, a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diagnosis using criteria 1 through 3 requires two abnormal test results from the same sample or in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two separate test samples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6-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Prediabetes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is a condition of abnormal BG that is not sufficiently high to meet the thresholds that define DM but often progresses to the diagnosis.</w:t>
      </w:r>
    </w:p>
    <w:p w:rsidR="00A14EA8" w:rsidRPr="002D7B20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Screening for type 1 DM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in asymptomatic children or adults is not recommended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due to low disease prevalence and the acute onset of symptoms.</w:t>
      </w:r>
    </w:p>
    <w:p w:rsidR="00A14EA8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14EA8" w:rsidRPr="009006F1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Screening for type 2 DM is recommended for asymptomatic adults who are overweight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(BMI 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≥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25 kg/m</w:t>
      </w:r>
      <w:r w:rsidR="006476C0" w:rsidRPr="00A14EA8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) and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have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at least one other risk factor for developing type 2 DM.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9006F1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All adults, even those without risk factors, should be screened every 3 years starting at 45</w:t>
      </w:r>
      <w:r w:rsidR="00A14EA8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years old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Children at risk for developing type 2 DM should undergo screening every 3 years starting at age 10 years.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9006F1" w:rsidRDefault="009006F1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Pregnant women should</w:t>
      </w:r>
      <w:r w:rsidR="00A14EA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undergo risk assessment for GDM at the first prenatal visit; those with multiple risk factors for type 2 DM should be tested as soon as feasible.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All</w:t>
      </w:r>
      <w:r w:rsidR="00A14EA8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women (even if the initial test was negative) should undergo testing at 24</w:t>
      </w:r>
      <w:r w:rsidR="006476C0"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28 weeks</w:t>
      </w:r>
      <w:r w:rsidR="006476C0" w:rsidRPr="009006F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’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gestation.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A14EA8" w:rsidRDefault="00A14EA8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4EA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A14EA8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Treatment: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The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primary goal is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to prevent or delay progression of long-term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microvascular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macrovascular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complications.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Additional</w:t>
      </w: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are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to alleviate symptoms of hyperglycemia, minimize hypoglycemia and other adverse effects, minimize treatment burden, and maintain quality of life. 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General glycemic targets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for most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nonpregnant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adults with DM are listed in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Table-1.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P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A14EA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Table-1: Glycemic Target Recommendations for Most </w:t>
      </w:r>
      <w:proofErr w:type="spellStart"/>
      <w:r w:rsidRPr="00A14EA8">
        <w:rPr>
          <w:rFonts w:asciiTheme="majorBidi" w:hAnsiTheme="majorBidi" w:cstheme="majorBidi"/>
          <w:b/>
          <w:bCs/>
          <w:color w:val="333333"/>
          <w:sz w:val="28"/>
          <w:szCs w:val="28"/>
        </w:rPr>
        <w:t>Nonpregnant</w:t>
      </w:r>
      <w:proofErr w:type="spellEnd"/>
      <w:r w:rsidRPr="00A14EA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Adults with Diabetes</w:t>
      </w:r>
    </w:p>
    <w:p w:rsidR="00A14EA8" w:rsidRPr="00E155E7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733E8A2" wp14:editId="0D705EBB">
            <wp:extent cx="6515394" cy="1318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1392" cy="13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EA8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fbuqvuq-ag5-dhb-zfrbm4ieqpvr" w:cs="fbuqvuq-ag5-dhb-zfrbm4ieqpvr"/>
          <w:color w:val="333333"/>
          <w:sz w:val="16"/>
          <w:szCs w:val="16"/>
        </w:rPr>
      </w:pPr>
    </w:p>
    <w:p w:rsidR="00A14EA8" w:rsidRDefault="009006F1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="00A14EA8" w:rsidRPr="009006F1">
        <w:rPr>
          <w:rFonts w:asciiTheme="majorBidi" w:hAnsiTheme="majorBidi" w:cstheme="majorBidi"/>
          <w:color w:val="333333"/>
          <w:sz w:val="28"/>
          <w:szCs w:val="28"/>
        </w:rPr>
        <w:t>Glycemic targets should be individualized</w:t>
      </w:r>
      <w:r w:rsidR="00A14EA8" w:rsidRPr="00A14EA8">
        <w:rPr>
          <w:rFonts w:asciiTheme="majorBidi" w:hAnsiTheme="majorBidi" w:cstheme="majorBidi"/>
          <w:color w:val="333333"/>
          <w:sz w:val="28"/>
          <w:szCs w:val="28"/>
        </w:rPr>
        <w:t>. More stringent or less stringent goals may be appropriate for some patients.</w:t>
      </w:r>
    </w:p>
    <w:p w:rsidR="00A14EA8" w:rsidRPr="002D7B20" w:rsidRDefault="00A14EA8" w:rsidP="00A14E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6476C0" w:rsidRPr="006366BA" w:rsidRDefault="00D16656" w:rsidP="009006F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Medical nutrition therapy (MNT)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involves an individually tailored nutrition plan. Implement a healthy meal plan that is moderate in calories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carbohydrates and low in saturated fat with all of the essential vitamins and minerals. Target an initial weight loss goal of at least 5% in all type 2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DM patients who are overweight or obese through calorie restriction.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D16656" w:rsidP="007C71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Aerobic exercise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can improve insulin sensitivity, modestly improve glycemic control, reduce cardiovascular (CV) risk, contribute to weight control,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and improve well-being. Physical activity goals include at least 150 min/week of moderate intensity exercise spread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lastRenderedPageBreak/>
        <w:t>over at least 3 days/week with no more than 2 days between activity. Resistance/strength training is recommended at least 2 times/week for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patients without proliferative diabetic retinopathy.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05882" w:rsidRPr="009006F1" w:rsidRDefault="009006F1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Patients </w:t>
      </w:r>
      <w:r w:rsidR="006476C0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must be involved in decision making and have strong knowledge of the disease and associated complications</w:t>
      </w:r>
      <w:r w:rsidR="00D16656" w:rsidRPr="009006F1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2D7B20" w:rsidRPr="002D7B20" w:rsidRDefault="002D7B20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45125D" w:rsidRPr="00405882" w:rsidRDefault="0045125D" w:rsidP="002D7B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6476C0" w:rsidRPr="00D16656" w:rsidRDefault="006476C0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16656">
        <w:rPr>
          <w:rFonts w:asciiTheme="majorBidi" w:hAnsiTheme="majorBidi" w:cstheme="majorBidi"/>
          <w:b/>
          <w:bCs/>
          <w:color w:val="FF0000"/>
          <w:sz w:val="32"/>
          <w:szCs w:val="32"/>
        </w:rPr>
        <w:t>Insulin</w:t>
      </w: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The main advantage of insulin over other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antihyperglycemic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agents is that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it can achieve a wide range of glucose targets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the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dose can be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individualized based on glycemic levels. 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Disadvantages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include the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risk of hypoglycemia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need for injections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gain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burden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6476C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All commercial insulin preparations are produced using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recombinant DNA technology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Most insulin products are administered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subcutaneously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(SC)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for chronic diabetes management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except for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inhaled human insulin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which is a dry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powder of regular insulin that is inhaled and absorbed through pulmonary tissue.</w:t>
      </w:r>
    </w:p>
    <w:p w:rsidR="002D7B20" w:rsidRPr="002D7B20" w:rsidRDefault="002D7B20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D16656" w:rsidP="002D7B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The most commonly used insulin concentration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is 100 units/mL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(U-100); more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concentrated insulins (U-200, U-300, U-500) may be considered for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requiring larger doses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U-500 regular insulin is reserved for patients with extreme insulin resistance and is usually given two or three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times a day.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pharmacokinetics of insulin products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is characterized by their onset, peak, and duration of action (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-2).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P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D16656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Table-2: Pharmacokinetics of Select Insulins Administered Subcutaneously</w:t>
      </w: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0F3924B" wp14:editId="11C44E66">
            <wp:extent cx="6607534" cy="271139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767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CAD434" wp14:editId="49B702C8">
            <wp:extent cx="6607534" cy="3427013"/>
            <wp:effectExtent l="0" t="0" r="317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2589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Basal insulin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(or background insulin)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refers to longer-acting insulins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that regulate BG levels in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between meals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by suppressing hepatic glucose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production and maintaining near-normal glycemic levels in the fasting state. Options include the following insulins:</w:t>
      </w:r>
    </w:p>
    <w:p w:rsidR="006476C0" w:rsidRPr="00D16656" w:rsidRDefault="006476C0" w:rsidP="006366BA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NPH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is the least ideal product because it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has a distinct peak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and a duration of action much less than 24 hours and usually requires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twice</w:t>
      </w:r>
      <w:r w:rsidR="00D16656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daily</w:t>
      </w:r>
      <w:r w:rsidR="00D16656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dosing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476C0" w:rsidRPr="00D16656" w:rsidRDefault="006476C0" w:rsidP="007C71F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Detemir</w:t>
      </w:r>
      <w:proofErr w:type="spellEnd"/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also has a peak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and often lasts &lt;24 hours; it can be given once daily in some patients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but should be dosed twice daily at low doses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476C0" w:rsidRPr="007C71F8" w:rsidRDefault="006476C0" w:rsidP="007C71F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Glargine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degludec</w:t>
      </w:r>
      <w:proofErr w:type="spellEnd"/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are longer acting-agents that have no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peak and are given once daily.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All basal insulins can achieve similar A1C reductions if dosed and titrated properly, but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longer-acting products have a lower risk of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(particularly nocturnal hypoglycemia) and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may result in less glucose variability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However, they are more expensive.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Bolus insulin refers to short- or rapid-acting insulins that cover meals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(also called prandial insulin) or glycemic excursions (also called correction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insulin). 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Basal insulin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is the preferred and most convenient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initial insulin formulation for patients with type 2 DM,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whereas patients with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type 1 DM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require a combination of basal and bolus insulin to achieve adequate glycemic control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Bolus insulin options include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6476C0" w:rsidRPr="00D16656" w:rsidRDefault="006476C0" w:rsidP="00D1665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Aspart</w:t>
      </w:r>
      <w:proofErr w:type="spellEnd"/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lispro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glulisine</w:t>
      </w:r>
      <w:proofErr w:type="spellEnd"/>
      <w:r w:rsidRPr="00D16656">
        <w:rPr>
          <w:rFonts w:asciiTheme="majorBidi" w:hAnsiTheme="majorBidi" w:cstheme="majorBidi"/>
          <w:color w:val="333333"/>
          <w:sz w:val="28"/>
          <w:szCs w:val="28"/>
        </w:rPr>
        <w:t>, the rapid-onset, short-duration insulins</w:t>
      </w:r>
    </w:p>
    <w:p w:rsidR="006476C0" w:rsidRPr="007C71F8" w:rsidRDefault="006476C0" w:rsidP="00D1665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Inhaled human insulin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and fast-acting insulin </w:t>
      </w:r>
      <w:proofErr w:type="spellStart"/>
      <w:r w:rsidRPr="00D16656">
        <w:rPr>
          <w:rFonts w:asciiTheme="majorBidi" w:hAnsiTheme="majorBidi" w:cstheme="majorBidi"/>
          <w:color w:val="333333"/>
          <w:sz w:val="28"/>
          <w:szCs w:val="28"/>
        </w:rPr>
        <w:t>aspart</w:t>
      </w:r>
      <w:proofErr w:type="spellEnd"/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Pr="00D16656">
        <w:rPr>
          <w:rFonts w:asciiTheme="majorBidi" w:hAnsiTheme="majorBidi" w:cstheme="majorBidi"/>
          <w:color w:val="333333"/>
          <w:sz w:val="28"/>
          <w:szCs w:val="28"/>
        </w:rPr>
        <w:t>Fiasp</w:t>
      </w:r>
      <w:proofErr w:type="spellEnd"/>
      <w:r w:rsidR="007C71F8">
        <w:rPr>
          <w:rFonts w:asciiTheme="majorBidi" w:hAnsiTheme="majorBidi" w:cstheme="majorBidi"/>
          <w:color w:val="333333"/>
          <w:sz w:val="28"/>
          <w:szCs w:val="28"/>
        </w:rPr>
        <w:t>®</w:t>
      </w:r>
      <w:r w:rsidRPr="00D16656">
        <w:rPr>
          <w:rFonts w:asciiTheme="majorBidi" w:hAnsiTheme="majorBidi" w:cstheme="majorBidi"/>
          <w:color w:val="333333"/>
          <w:sz w:val="28"/>
          <w:szCs w:val="28"/>
        </w:rPr>
        <w:t xml:space="preserve">), the 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ultra-rapid onset insulins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12-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Rapid-acting insulins offer a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faster onset and shorter duration of action than regular insulin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ultra-rapid acting insulins offer an even faster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onset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; this may more closely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mimic prandial endogenous insulin release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1C7D72" w:rsidRDefault="001C7D72" w:rsidP="007C71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476C0" w:rsidRPr="007C71F8" w:rsidRDefault="00D16656" w:rsidP="001C7D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13-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Rapid-acting insulins have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a modestly lower risk of hypoglycemia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than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regular insulin. 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7C71F8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14-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Various premixed insulin products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containing both a basal and a prandial component are also available for patients who require fewer injections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or a simpler regimen (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Table-2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). However,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these products are limited by fixed mixed formulations, which can make it challenging to tailor the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dosing regimen.</w:t>
      </w:r>
    </w:p>
    <w:p w:rsidR="00D16656" w:rsidRPr="007C71F8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D16656" w:rsidRPr="007C71F8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15-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insulin dose must be individualized.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In type 1 DM,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average daily requirement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is 0.5</w:t>
      </w:r>
      <w:r w:rsidR="006476C0" w:rsidRPr="006366BA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0.6 units/kg, with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approximately 50% given as basal</w:t>
      </w:r>
      <w:r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insulin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and the remaining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50% dedicated to meal coverage. </w:t>
      </w:r>
    </w:p>
    <w:p w:rsidR="00D16656" w:rsidRPr="007C71F8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6476C0" w:rsidRPr="006366BA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16-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During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honeymoon phase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requirements may fall 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to 0.1</w:t>
      </w:r>
      <w:r w:rsidR="006476C0" w:rsidRPr="007C71F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0.4 units/kg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Higher doses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are often needed during acute illness or with ketosis.</w:t>
      </w:r>
    </w:p>
    <w:p w:rsidR="00D16656" w:rsidRPr="002D7B20" w:rsidRDefault="00D16656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Default="00D16656" w:rsidP="007C71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17-</w:t>
      </w:r>
      <w:r w:rsidR="006476C0" w:rsidRPr="007C71F8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 is the most common adverse effects of insulin therapy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. Insulin also causes dose-depende</w:t>
      </w:r>
      <w:bookmarkStart w:id="0" w:name="_GoBack"/>
      <w:bookmarkEnd w:id="0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nt weight gain, which occurs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predominantly in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truncal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fat. 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16656" w:rsidRPr="00561FF9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18-</w:t>
      </w:r>
      <w:r w:rsidR="00561FF9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I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njection site reactions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may include redness, pain, itching, </w:t>
      </w:r>
      <w:proofErr w:type="spellStart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urticaria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edema, and inflammation. SC administration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can result in </w:t>
      </w:r>
      <w:proofErr w:type="spellStart"/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lipoatrophy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proofErr w:type="spellStart"/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lipohypertrophy</w:t>
      </w:r>
      <w:proofErr w:type="spellEnd"/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which can be prevented by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routinely rotating injection sites.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19-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Inhaled human insulin can cause cough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and upper respiratory infections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>, and it is contraindicated in chronic obstructive pulmonary disease and asthma due to bronchospasm risk.</w:t>
      </w:r>
    </w:p>
    <w:p w:rsidR="00D16656" w:rsidRPr="002D7B20" w:rsidRDefault="00D16656" w:rsidP="00D166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561FF9" w:rsidRDefault="00D16656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20-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Because inhaled insulin has been associated with a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small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decline in pulmonary function</w:t>
      </w:r>
      <w:r w:rsidR="006476C0" w:rsidRPr="006366BA">
        <w:rPr>
          <w:rFonts w:asciiTheme="majorBidi" w:hAnsiTheme="majorBidi" w:cstheme="majorBidi"/>
          <w:color w:val="333333"/>
          <w:sz w:val="28"/>
          <w:szCs w:val="28"/>
        </w:rPr>
        <w:t xml:space="preserve">, patients should have </w:t>
      </w:r>
      <w:proofErr w:type="spellStart"/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spirometry</w:t>
      </w:r>
      <w:proofErr w:type="spellEnd"/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tests performed at baseline, 6 months, and annually thereafter.</w:t>
      </w:r>
    </w:p>
    <w:p w:rsidR="006476C0" w:rsidRPr="002D7B20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Biguanides</w:t>
      </w:r>
    </w:p>
    <w:p w:rsidR="006476C0" w:rsidRPr="00B815FC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Metformin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decreases hepatic glucose production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enhances insulin sensitivity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peripheral (muscle) tissues,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allowing for increased glucose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uptake into muscle cells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Metformin is recommended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as first-line pharmacotherapy in patients with type 2 DM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(unless a contraindication or intolerability exists)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due to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extensive experience, high efficacy, minimal hypoglycemia risk, positive or neutral effects on weight, potential positive impact on CV risk,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manageable side-effect profile, and low cost.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561F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It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does not cause weight gain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may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lead to a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modest (2</w:t>
      </w:r>
      <w:r w:rsidR="006476C0" w:rsidRPr="00561FF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3 kg) weight loss.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It has a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low risk of hypoglycemia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because it does not directly increase pancreatic insulin secretion.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Metformin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decreases plasma triglycerides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low-density lipoprotein cholesterol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(LDL-C) by approximately 8%</w:t>
      </w:r>
      <w:r w:rsidR="006476C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15% and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modestly increases high-density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lipoprotein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cholesterol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(HDL-C) by 2%.</w:t>
      </w:r>
    </w:p>
    <w:p w:rsidR="002D7B20" w:rsidRPr="002D7B20" w:rsidRDefault="002D7B2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Pr="00561FF9" w:rsidRDefault="00C60670" w:rsidP="002D7B2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Metformin frequently causes GI side effects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(diarrhea, abdominal discomfort, stomach upset); these effects are usually dose-dependent,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transient, mild, and can be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minimized with slow dose titration and taking metformin with or immediately after meals.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C60670" w:rsidP="00561F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Extended-release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metformin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may lessen some of the GI side effects</w:t>
      </w:r>
      <w:r w:rsid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. 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Metformin may cause a metallic taste and may lower vitamin B12 concentrations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; B12 levels or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methylmalonic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acid should be measured annually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if a deficiency is suspected,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vitamin B12 supplementation given if indicated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Lactic acidosis occurs rarely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usually in the setting of </w:t>
      </w:r>
      <w:r w:rsidR="006476C0" w:rsidRPr="00561FF9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 illness or acute kidney injury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The risk may increase in moderate-to-severe renal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insufficiency or tissue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hypoperfusion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states such as acute heart failure (HF), excessive alcohol intake, and hepatic impairment.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symptoms</w:t>
      </w:r>
      <w:r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are often nonspecific, the diagnosis must be confirmed by laboratory measurement of high lactic acid levels and acidosis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Metformin is renally excreted and accumulates in renal insufficiency; it is contraindicated in patients with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eGFR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&lt;30 mL/min/1.73 m</w:t>
      </w:r>
      <w:r w:rsidR="006476C0" w:rsidRPr="00424598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should be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used with caution in patients with milder renal insufficiency.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Metformin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initiation is not recommended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patients with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eGFR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30</w:t>
      </w:r>
      <w:r w:rsidR="006476C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45 mL/min/1.73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</w:t>
      </w:r>
      <w:r w:rsidR="006476C0" w:rsidRPr="00C6067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but ca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n be continued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with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 renal function monitoring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; a reduction of 50% of maximal dose may be warranted.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Due to the risk of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</w:t>
      </w:r>
      <w:r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renal failure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use of IV contrast dye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withhold metformin therapy starting the day of the procedure and resume it 2</w:t>
      </w:r>
      <w:r w:rsidR="006476C0" w:rsidRPr="0042459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3 days later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if normal renal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function has been documented.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Metformin can be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used in combination with any other </w:t>
      </w:r>
      <w:proofErr w:type="spellStart"/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antihyperglycemic</w:t>
      </w:r>
      <w:proofErr w:type="spellEnd"/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therapy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is often continued when insulin therapy is initiated.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target metformin dose is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1000 mg twice daily or 2000 mg daily if the extended-release product is used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The minimal effective dose is 1000 mg/day.</w:t>
      </w:r>
    </w:p>
    <w:p w:rsidR="006476C0" w:rsidRPr="002D7B20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Sulfonylureas</w:t>
      </w:r>
    </w:p>
    <w:p w:rsidR="00C6067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Sulfonylureas enhance insulin secretion by binding to the sulfonylurea receptor SUR1 on pancreatic β-cells.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First-generation agents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(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chlorpropamide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tolazamide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tolbutamide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are lower in potency than second-generation drugs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(glyburide,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glipizide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glimepiride), and are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rarely used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due to a higher risk of adverse effects.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424598" w:rsidRDefault="00C60670" w:rsidP="0042459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All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sulfonylureas are equally effective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 lowering BG when given in equipotent doses. 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C60670" w:rsidP="0042459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Sulfonylureas are widely used because they have an extensive record of safety and effectiveness, are given orally, and are inexpensive.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However,</w:t>
      </w:r>
      <w:r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current treatment guidelines either discourage their use or suggest caution due to the risk of hypoglycemia and weight gain.</w:t>
      </w:r>
      <w:r w:rsid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In addition,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tachyphylaxis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the insulin secretion effect occurs, leading to poor long-term durability of response in most patients.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424598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most common side effect is hypoglycemia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Patients who skip meals, exercise vigorously, or lose a substantial amount of weight are more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prone to hypoglycemia.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Default="00424598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Sulfonylureas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long durations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action and those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active metabolites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should be used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extreme caution in</w:t>
      </w:r>
      <w:r w:rsidR="00C6067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older patients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those with renal insufficiency due to the high risk of hypoglycemia.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424598" w:rsidRDefault="00424598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7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gain is common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(typically 1</w:t>
      </w:r>
      <w:r w:rsidR="006476C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2 kg).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with sulfa</w:t>
      </w:r>
      <w:r w:rsidR="00C6067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allergy rarely experience </w:t>
      </w:r>
      <w:proofErr w:type="spellStart"/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>crossreactivity</w:t>
      </w:r>
      <w:proofErr w:type="spellEnd"/>
      <w:r w:rsidR="006476C0" w:rsidRPr="004245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with sulfonylureas.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Thiazolidinediones (TZDs)</w:t>
      </w:r>
    </w:p>
    <w:p w:rsidR="006476C0" w:rsidRPr="00B815FC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TZDs bind to the peroxisome proliferator activator receptor-γ (PPAR-γ) located primarily on fat and vascular cells, enhancing insulin sensitivity in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muscle, liver, and fat tissues.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Maximum effects may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not be seen until 3</w:t>
      </w:r>
      <w:r w:rsidR="006476C0" w:rsidRPr="001C7D7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4 months of therapy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TZDs are considered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second- or third-line agents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can be used in combination with metformin and other commonly prescribed medications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for type 2 DM.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1C7D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Pioglitazone decreases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plasma triglycerides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by 10%</w:t>
      </w:r>
      <w:r w:rsidR="006476C0" w:rsidRPr="001C7D7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20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whereas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rosiglitazone may increase LDL-C by 5%</w:t>
      </w:r>
      <w:r w:rsidR="006476C0" w:rsidRPr="001C7D7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15%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Both drugs increase HDL-C, but the magnitude may be greater with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pioglitazone.</w:t>
      </w:r>
    </w:p>
    <w:p w:rsidR="00C60670" w:rsidRPr="002D7B20" w:rsidRDefault="00C6067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Pr="001C7D72" w:rsidRDefault="00E3376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Fluid retention may occur due to peripheral vasodilation and improved insulin sensitization in the kidney with increased sodium and water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retention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This may result in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peripheral edema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(4%</w:t>
      </w:r>
      <w:r w:rsidR="006476C0" w:rsidRPr="00B815FC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5% of patients with monotherapy; 15% or more when combined with insulin), HF,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hemodilution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hemoglobin and hematocrit,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and weight gain. 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1C7D72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TZDs are contraindicated in patients with New York Heart Association Class III or IV HF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should be used with caution in patients with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Class I or II HF.</w:t>
      </w:r>
    </w:p>
    <w:p w:rsidR="00C60670" w:rsidRPr="002D7B20" w:rsidRDefault="00C60670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1C7D72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gain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is dose related and results from both fluid retention and fat accumulation; a gain of 4 kg is not uncommon, and higher gains may</w:t>
      </w:r>
      <w:r w:rsidR="00C6067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require drug discontinuation.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Pr="00C60670" w:rsidRDefault="001C7D72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TZDs have also been associated with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an increased fracture rate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in the upper and lower limbs of postmenopausal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women.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An increased risk of bladder cancer is controversial.</w:t>
      </w:r>
    </w:p>
    <w:p w:rsidR="00432451" w:rsidRPr="002D7B20" w:rsidRDefault="00432451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0670" w:rsidRPr="00432451" w:rsidRDefault="00C6067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32451">
        <w:rPr>
          <w:rFonts w:asciiTheme="majorBidi" w:hAnsiTheme="majorBidi" w:cstheme="majorBidi"/>
          <w:b/>
          <w:bCs/>
          <w:color w:val="FF0000"/>
          <w:sz w:val="32"/>
          <w:szCs w:val="32"/>
        </w:rPr>
        <w:t>Glucagon-like Peptide 1 Receptor Agonists (GLP1-RAs)</w:t>
      </w:r>
    </w:p>
    <w:p w:rsidR="00C60670" w:rsidRPr="001C7D72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Dulaglutide,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exenatide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exenatide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XR,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lixisenatide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liraglutide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semaglutide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stimulate insulin secretion and suppress inappropriately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high postprandial glucagon secretion, decreasing hepatic glucose output. They also slow gastric emptying, increase satiety, and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cause weight loss</w:t>
      </w:r>
      <w:r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(average 1</w:t>
      </w:r>
      <w:r w:rsidR="00C60670" w:rsidRPr="001C7D7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3 kg).</w:t>
      </w:r>
    </w:p>
    <w:p w:rsidR="00432451" w:rsidRPr="002D7B20" w:rsidRDefault="00432451" w:rsidP="00C606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Short-acting agents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exenatide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lixisenatide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) predominantly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postprandial glucose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(PPG)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levels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whereas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long-acting agents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dulaglutide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liraglutide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exenatide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XR, </w:t>
      </w:r>
      <w:proofErr w:type="spellStart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>semaglutide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both FPG and PPG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, but with larger effects on FPG.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Evidence suggests that </w:t>
      </w:r>
      <w:proofErr w:type="spellStart"/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liraglutide</w:t>
      </w:r>
      <w:proofErr w:type="spellEnd"/>
      <w:r w:rsidR="00C60670" w:rsidRPr="00C60670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C6067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semaglutide</w:t>
      </w:r>
      <w:proofErr w:type="spellEnd"/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h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ave the highest A1C and weight-lowering efficacy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while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exenatide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lixisenatide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have the lowest.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Liraglutide and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semaglutide</w:t>
      </w:r>
      <w:proofErr w:type="spellEnd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have demonstrated CV benefits in clinical trials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Liraglutide is FDA approved to reduce the risk of major adverse CV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events in adults with type 2 DM and established atherosclerotic cardiovascular disease (ASCVD).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GLP1-RAs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currently recommended as first-line agents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but can be used as monotherapy in patients who cannot tolerate or take first-line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therapy.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6-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They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are recommended second-line agents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for patients with established ASCVD or chronic kidney disease (CKD) and those with a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compelling need to avoid hypoglycemia or to avoid weight gain or induce weight loss.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They can be used in combination with metformin, TZDs,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sulfonylureas, SGLT-2 inhibitors, and basal insulin. </w:t>
      </w:r>
      <w:r w:rsidR="006476C0" w:rsidRPr="00E33760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should not be used in combination with DPP-4 inhibitors due to similar mechanisms of</w:t>
      </w:r>
      <w:r w:rsidR="00432451" w:rsidRPr="00E337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E33760">
        <w:rPr>
          <w:rFonts w:asciiTheme="majorBidi" w:hAnsiTheme="majorBidi" w:cstheme="majorBidi"/>
          <w:b/>
          <w:bCs/>
          <w:color w:val="333333"/>
          <w:sz w:val="28"/>
          <w:szCs w:val="28"/>
        </w:rPr>
        <w:t>action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32451" w:rsidRPr="002D7B2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33760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GLP1-RAs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are administered SC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</w:p>
    <w:p w:rsidR="00E33760" w:rsidRPr="00424598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33760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common adverse effects of GLP1-RAs are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nausea, vomiting, and diarrhea. These effects are dose related, so dose titration is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recommended.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They usually occur early in the treatment course and are mild and transient but may require drug discontinuation in some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patients.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Instruct patients to eat slowly and stop eating when satiated or nausea may worsen and cause vomiting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33760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476C0" w:rsidRPr="00B815FC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10-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Injection site reactions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hypersensitivity reactions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(including anaphylaxis and angioedema) have been reported.</w:t>
      </w:r>
    </w:p>
    <w:p w:rsidR="00432451" w:rsidRPr="002D7B2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Because GLP1-RAs enhance insulin secretion in response to food intake,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the risk of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hypoglycemia is low when combined with metformin, SGLT-2</w:t>
      </w:r>
      <w:r w:rsidR="00432451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inhibitors, or a TZD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However, hypoglycemia may occur when combined with a sulfonylurea or insulin.</w:t>
      </w:r>
    </w:p>
    <w:p w:rsidR="006476C0" w:rsidRPr="002D7B20" w:rsidRDefault="006476C0" w:rsidP="006476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proofErr w:type="spellStart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Dipeptidyl</w:t>
      </w:r>
      <w:proofErr w:type="spellEnd"/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Peptidase-4 (DPP-4) Inhibitors</w:t>
      </w:r>
    </w:p>
    <w:p w:rsidR="00432451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Alogliptin,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linagliptin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saxagliptin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and sitagliptin prolong the half-life of endogenously produced GLP-1 and GIP, thereby increasing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glucose-dependent insulin secretion from the pancreas and reducing inappropriate postprandial glucagon secretion, resulting in lower glucose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levels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without an increase in hypoglycemia when used as monotherapy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They do not alter gastric emptying, cause nausea, have significant effects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on satiety, or cause weight gain/loss.</w:t>
      </w:r>
    </w:p>
    <w:p w:rsidR="00E33760" w:rsidRPr="00424598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33760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There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 clear</w:t>
      </w:r>
      <w:r w:rsidR="00432451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differences in efficacy among agents in the class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DPP-4 inhibitors are considered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second- or third-line therapy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33760" w:rsidRPr="00424598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Advantages include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once-daily dosing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oral administration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neutrality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low</w:t>
      </w:r>
      <w:r w:rsidR="00432451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risk of hypoglycemia, and good tolerability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However, they have less A1C lowering efficacy than other second-line medication classes and are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expensive.</w:t>
      </w:r>
    </w:p>
    <w:p w:rsidR="00432451" w:rsidRPr="002D7B2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Adverse effects are uncommon and include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stuffy, runny nose; headache; and upper respiratory tract infections. The labeling of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saxagliptin</w:t>
      </w:r>
      <w:proofErr w:type="spellEnd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</w:t>
      </w:r>
      <w:r w:rsidR="00432451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alogliptin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includes information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about increased risk of hospitalizations for HF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. The FDA has also issued a warning on the risk of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 joint pain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with DPP-4 inhibitors.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33760" w:rsidRDefault="00E33760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Pancreatitis appears to be an established but rare safety concern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E33760" w:rsidRPr="00E33760" w:rsidRDefault="00E33760" w:rsidP="00E337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C60670" w:rsidRDefault="006476C0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60670">
        <w:rPr>
          <w:rFonts w:asciiTheme="majorBidi" w:hAnsiTheme="majorBidi" w:cstheme="majorBidi"/>
          <w:b/>
          <w:bCs/>
          <w:color w:val="FF0000"/>
          <w:sz w:val="32"/>
          <w:szCs w:val="32"/>
        </w:rPr>
        <w:t>Sodium-Glucose Cotransporter-2 Inhibitors</w:t>
      </w:r>
    </w:p>
    <w:p w:rsidR="00432451" w:rsidRDefault="00522985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Canagliflozin,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dapagliflozin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empagliflozin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ertugliflozin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reduce plasma glucose by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preventing the kidneys from reabsorbing glucose</w:t>
      </w:r>
      <w:r w:rsidR="00432451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back into the bloodstream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, leading to increased glucose excretion in the urine.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522985" w:rsidP="005229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SGLT-2 inhibitors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both FPG and PPG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Renal</w:t>
      </w:r>
      <w:r w:rsidR="00432451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impairment decreases the efficacy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of SGLT-2 inhibitors.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2451" w:rsidRDefault="00522985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SGLT-2 inhibitors are second-line agents that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can be added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to metformin or other second-line agents.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are not recommended as first-line</w:t>
      </w:r>
      <w:r w:rsidR="00432451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agents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but can be used as monotherapy in patients who cannot tolerate or take first-line therapy. 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B815FC" w:rsidRDefault="00522985" w:rsidP="005229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They are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unlikely to cause hypoglycemia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unless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combined with medications such as sulfonylureas,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meglitinides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or insulin.</w:t>
      </w:r>
    </w:p>
    <w:p w:rsidR="00432451" w:rsidRPr="002D7B2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522985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Both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empagliflozin</w:t>
      </w:r>
      <w:proofErr w:type="spellEnd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canagliflozin</w:t>
      </w:r>
      <w:proofErr w:type="spellEnd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reduced major adverse CV events in large clinical trials,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empagliflozin</w:t>
      </w:r>
      <w:proofErr w:type="spellEnd"/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is FDA approved to reduce the risk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of CV death in adults with type 2 DM and established ASCVD.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Default="00522985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The most common adverse effect is genital </w:t>
      </w:r>
      <w:proofErr w:type="spellStart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mycotic</w:t>
      </w:r>
      <w:proofErr w:type="spellEnd"/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infections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, which are more common in women and uncircumcised men. There is also a slightly</w:t>
      </w:r>
      <w:r w:rsidR="004324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increased risk of </w:t>
      </w:r>
      <w:r w:rsidR="006476C0" w:rsidRPr="001C7D72">
        <w:rPr>
          <w:rFonts w:asciiTheme="majorBidi" w:hAnsiTheme="majorBidi" w:cstheme="majorBidi"/>
          <w:b/>
          <w:bCs/>
          <w:color w:val="333333"/>
          <w:sz w:val="28"/>
          <w:szCs w:val="28"/>
        </w:rPr>
        <w:t>urinary tract infections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>. Polyuria, dehydration, dizziness, or hypotension may occur because of the osmotic diuresis effects.</w:t>
      </w:r>
    </w:p>
    <w:p w:rsidR="00432451" w:rsidRPr="002D7B20" w:rsidRDefault="00432451" w:rsidP="004324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476C0" w:rsidRPr="00522985" w:rsidRDefault="00522985" w:rsidP="005229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Concomitant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diuretic use may increase the risk of orthostatic hypotension and electrolyte abnormalities.</w:t>
      </w:r>
      <w:r w:rsidR="006476C0" w:rsidRPr="00B815FC">
        <w:rPr>
          <w:rFonts w:asciiTheme="majorBidi" w:hAnsiTheme="majorBidi" w:cstheme="majorBidi"/>
          <w:color w:val="333333"/>
          <w:sz w:val="28"/>
          <w:szCs w:val="28"/>
        </w:rPr>
        <w:t xml:space="preserve"> Other potential safety concerns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include ketoacidosis, amputations, fractures, and Fournier</w:t>
      </w:r>
      <w:r w:rsidR="00432451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476C0" w:rsidRPr="00522985">
        <w:rPr>
          <w:rFonts w:asciiTheme="majorBidi" w:hAnsiTheme="majorBidi" w:cstheme="majorBidi"/>
          <w:b/>
          <w:bCs/>
          <w:color w:val="333333"/>
          <w:sz w:val="28"/>
          <w:szCs w:val="28"/>
        </w:rPr>
        <w:t>gangrene.</w:t>
      </w:r>
    </w:p>
    <w:p w:rsidR="00432451" w:rsidRPr="002D7B20" w:rsidRDefault="00432451" w:rsidP="00B815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366BA" w:rsidRPr="002D7B20" w:rsidRDefault="006366BA" w:rsidP="006366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11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2021.</w:t>
      </w:r>
    </w:p>
    <w:sectPr w:rsidR="00B527DA" w:rsidRPr="00B527DA" w:rsidSect="0045125D">
      <w:footerReference w:type="default" r:id="rId12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2A" w:rsidRDefault="001D5E2A" w:rsidP="009C79FE">
      <w:pPr>
        <w:spacing w:after="0" w:line="240" w:lineRule="auto"/>
      </w:pPr>
      <w:r>
        <w:separator/>
      </w:r>
    </w:p>
  </w:endnote>
  <w:endnote w:type="continuationSeparator" w:id="0">
    <w:p w:rsidR="001D5E2A" w:rsidRDefault="001D5E2A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uqvuq-ag5-dhb-zfrbm4ieqpv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375" w:rsidRDefault="00341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5E7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341375" w:rsidRDefault="0034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2A" w:rsidRDefault="001D5E2A" w:rsidP="009C79FE">
      <w:pPr>
        <w:spacing w:after="0" w:line="240" w:lineRule="auto"/>
      </w:pPr>
      <w:r>
        <w:separator/>
      </w:r>
    </w:p>
  </w:footnote>
  <w:footnote w:type="continuationSeparator" w:id="0">
    <w:p w:rsidR="001D5E2A" w:rsidRDefault="001D5E2A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257A5"/>
    <w:multiLevelType w:val="hybridMultilevel"/>
    <w:tmpl w:val="0E4C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5338E"/>
    <w:multiLevelType w:val="hybridMultilevel"/>
    <w:tmpl w:val="3326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73D0D"/>
    <w:multiLevelType w:val="hybridMultilevel"/>
    <w:tmpl w:val="9518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A736C"/>
    <w:multiLevelType w:val="hybridMultilevel"/>
    <w:tmpl w:val="9180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477EB"/>
    <w:multiLevelType w:val="hybridMultilevel"/>
    <w:tmpl w:val="92B4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D1A3C"/>
    <w:multiLevelType w:val="hybridMultilevel"/>
    <w:tmpl w:val="70F8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B71E3"/>
    <w:multiLevelType w:val="hybridMultilevel"/>
    <w:tmpl w:val="DE20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2"/>
  </w:num>
  <w:num w:numId="13">
    <w:abstractNumId w:val="6"/>
  </w:num>
  <w:num w:numId="14">
    <w:abstractNumId w:val="13"/>
  </w:num>
  <w:num w:numId="15">
    <w:abstractNumId w:val="1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746CE"/>
    <w:rsid w:val="00085EC1"/>
    <w:rsid w:val="000A39DD"/>
    <w:rsid w:val="000D6AAF"/>
    <w:rsid w:val="000F5D8E"/>
    <w:rsid w:val="00126BAA"/>
    <w:rsid w:val="001369C1"/>
    <w:rsid w:val="001467B2"/>
    <w:rsid w:val="0018108D"/>
    <w:rsid w:val="001835C9"/>
    <w:rsid w:val="001A0CEA"/>
    <w:rsid w:val="001A4491"/>
    <w:rsid w:val="001A6137"/>
    <w:rsid w:val="001B3715"/>
    <w:rsid w:val="001C7900"/>
    <w:rsid w:val="001C7D72"/>
    <w:rsid w:val="001D5E2A"/>
    <w:rsid w:val="001E6AD2"/>
    <w:rsid w:val="001F3F9F"/>
    <w:rsid w:val="00202D23"/>
    <w:rsid w:val="0023109D"/>
    <w:rsid w:val="00240FC2"/>
    <w:rsid w:val="00293D7B"/>
    <w:rsid w:val="002A56DF"/>
    <w:rsid w:val="002D7B20"/>
    <w:rsid w:val="002F42C5"/>
    <w:rsid w:val="00307E17"/>
    <w:rsid w:val="00324617"/>
    <w:rsid w:val="00324E72"/>
    <w:rsid w:val="003310D9"/>
    <w:rsid w:val="00337A94"/>
    <w:rsid w:val="003404DA"/>
    <w:rsid w:val="00341375"/>
    <w:rsid w:val="00347D77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24598"/>
    <w:rsid w:val="00430B69"/>
    <w:rsid w:val="00432419"/>
    <w:rsid w:val="00432451"/>
    <w:rsid w:val="0045071B"/>
    <w:rsid w:val="0045125D"/>
    <w:rsid w:val="004722A3"/>
    <w:rsid w:val="004752B9"/>
    <w:rsid w:val="0048401C"/>
    <w:rsid w:val="00487060"/>
    <w:rsid w:val="004A73A6"/>
    <w:rsid w:val="004B2945"/>
    <w:rsid w:val="004B6F1E"/>
    <w:rsid w:val="004E1DCC"/>
    <w:rsid w:val="00516926"/>
    <w:rsid w:val="00522985"/>
    <w:rsid w:val="00561FF9"/>
    <w:rsid w:val="005627C5"/>
    <w:rsid w:val="00583888"/>
    <w:rsid w:val="005C3F80"/>
    <w:rsid w:val="005D1A07"/>
    <w:rsid w:val="005D3E7B"/>
    <w:rsid w:val="0063410E"/>
    <w:rsid w:val="006366BA"/>
    <w:rsid w:val="006476C0"/>
    <w:rsid w:val="0065062A"/>
    <w:rsid w:val="00653546"/>
    <w:rsid w:val="00655FED"/>
    <w:rsid w:val="00660CED"/>
    <w:rsid w:val="00690A20"/>
    <w:rsid w:val="006D0591"/>
    <w:rsid w:val="006F0F4C"/>
    <w:rsid w:val="00701BAE"/>
    <w:rsid w:val="00721505"/>
    <w:rsid w:val="00723679"/>
    <w:rsid w:val="007404A7"/>
    <w:rsid w:val="00741490"/>
    <w:rsid w:val="00747F03"/>
    <w:rsid w:val="00761A5B"/>
    <w:rsid w:val="007621C3"/>
    <w:rsid w:val="00773A31"/>
    <w:rsid w:val="007A0A8A"/>
    <w:rsid w:val="007B6004"/>
    <w:rsid w:val="007C71F8"/>
    <w:rsid w:val="007E68A8"/>
    <w:rsid w:val="007F19A1"/>
    <w:rsid w:val="0080323B"/>
    <w:rsid w:val="00804049"/>
    <w:rsid w:val="00804825"/>
    <w:rsid w:val="008B4BC1"/>
    <w:rsid w:val="008D2536"/>
    <w:rsid w:val="008D5E15"/>
    <w:rsid w:val="008D7966"/>
    <w:rsid w:val="008E28D7"/>
    <w:rsid w:val="009006F1"/>
    <w:rsid w:val="00926008"/>
    <w:rsid w:val="009608D6"/>
    <w:rsid w:val="00987645"/>
    <w:rsid w:val="009B0D47"/>
    <w:rsid w:val="009B224B"/>
    <w:rsid w:val="009C4D71"/>
    <w:rsid w:val="009C79FE"/>
    <w:rsid w:val="009D31BD"/>
    <w:rsid w:val="009E60CC"/>
    <w:rsid w:val="00A07CCC"/>
    <w:rsid w:val="00A14EA8"/>
    <w:rsid w:val="00A26085"/>
    <w:rsid w:val="00A4401F"/>
    <w:rsid w:val="00A5155A"/>
    <w:rsid w:val="00A532FE"/>
    <w:rsid w:val="00A7600B"/>
    <w:rsid w:val="00A8009A"/>
    <w:rsid w:val="00A83FB6"/>
    <w:rsid w:val="00A966DA"/>
    <w:rsid w:val="00A969AE"/>
    <w:rsid w:val="00AB66BE"/>
    <w:rsid w:val="00AC2FD0"/>
    <w:rsid w:val="00AD10F0"/>
    <w:rsid w:val="00AD3BD4"/>
    <w:rsid w:val="00AD761C"/>
    <w:rsid w:val="00AE1E84"/>
    <w:rsid w:val="00AF560B"/>
    <w:rsid w:val="00B16066"/>
    <w:rsid w:val="00B17CB0"/>
    <w:rsid w:val="00B503F7"/>
    <w:rsid w:val="00B527DA"/>
    <w:rsid w:val="00B55260"/>
    <w:rsid w:val="00B75789"/>
    <w:rsid w:val="00B815FC"/>
    <w:rsid w:val="00B834B0"/>
    <w:rsid w:val="00B94318"/>
    <w:rsid w:val="00BD69C4"/>
    <w:rsid w:val="00BE6797"/>
    <w:rsid w:val="00BF062B"/>
    <w:rsid w:val="00C2374F"/>
    <w:rsid w:val="00C3347D"/>
    <w:rsid w:val="00C35779"/>
    <w:rsid w:val="00C60670"/>
    <w:rsid w:val="00C75F21"/>
    <w:rsid w:val="00CB0602"/>
    <w:rsid w:val="00CD0420"/>
    <w:rsid w:val="00D06001"/>
    <w:rsid w:val="00D06DBA"/>
    <w:rsid w:val="00D16656"/>
    <w:rsid w:val="00D16FD5"/>
    <w:rsid w:val="00D35FDB"/>
    <w:rsid w:val="00D4331A"/>
    <w:rsid w:val="00D85713"/>
    <w:rsid w:val="00DA6BB8"/>
    <w:rsid w:val="00DD24DE"/>
    <w:rsid w:val="00DD3B5C"/>
    <w:rsid w:val="00DD3E17"/>
    <w:rsid w:val="00DD4C24"/>
    <w:rsid w:val="00E0566E"/>
    <w:rsid w:val="00E05705"/>
    <w:rsid w:val="00E155E7"/>
    <w:rsid w:val="00E15D4F"/>
    <w:rsid w:val="00E26382"/>
    <w:rsid w:val="00E33760"/>
    <w:rsid w:val="00E407F9"/>
    <w:rsid w:val="00E67F14"/>
    <w:rsid w:val="00E70BB6"/>
    <w:rsid w:val="00E7219D"/>
    <w:rsid w:val="00E83403"/>
    <w:rsid w:val="00E90342"/>
    <w:rsid w:val="00EA27D9"/>
    <w:rsid w:val="00EA3500"/>
    <w:rsid w:val="00EB0B76"/>
    <w:rsid w:val="00EB1305"/>
    <w:rsid w:val="00EF71B5"/>
    <w:rsid w:val="00F00195"/>
    <w:rsid w:val="00F0769C"/>
    <w:rsid w:val="00F27D50"/>
    <w:rsid w:val="00F51847"/>
    <w:rsid w:val="00F73EC3"/>
    <w:rsid w:val="00FA2811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D984-DFD1-4265-A530-EAA5DE0D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79</cp:revision>
  <dcterms:created xsi:type="dcterms:W3CDTF">2020-05-04T12:27:00Z</dcterms:created>
  <dcterms:modified xsi:type="dcterms:W3CDTF">2022-02-08T20:13:00Z</dcterms:modified>
</cp:coreProperties>
</file>