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C5" w:rsidRDefault="00EA4ACA" w:rsidP="00EA4AC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A4ACA">
        <w:rPr>
          <w:rFonts w:asciiTheme="majorBidi" w:hAnsiTheme="majorBidi" w:cstheme="majorBidi"/>
          <w:b/>
          <w:bCs/>
          <w:sz w:val="24"/>
          <w:szCs w:val="24"/>
          <w:lang w:val="en-US"/>
        </w:rPr>
        <w:t>Case:</w:t>
      </w:r>
      <w:r w:rsidRPr="00EA4ACA">
        <w:t xml:space="preserve"> </w:t>
      </w:r>
      <w:r w:rsidRPr="00EA4ACA">
        <w:rPr>
          <w:rFonts w:asciiTheme="majorBidi" w:hAnsiTheme="majorBidi" w:cstheme="majorBidi"/>
          <w:sz w:val="24"/>
          <w:szCs w:val="24"/>
          <w:lang w:val="en-US"/>
        </w:rPr>
        <w:t>You are asked to review a 68-year-old woman on the ward. She had an anterior resection for 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A4ACA">
        <w:rPr>
          <w:rFonts w:asciiTheme="majorBidi" w:hAnsiTheme="majorBidi" w:cstheme="majorBidi"/>
          <w:sz w:val="24"/>
          <w:szCs w:val="24"/>
          <w:lang w:val="en-US"/>
        </w:rPr>
        <w:t xml:space="preserve">rectal </w:t>
      </w:r>
      <w:proofErr w:type="spellStart"/>
      <w:r w:rsidRPr="00EA4ACA">
        <w:rPr>
          <w:rFonts w:asciiTheme="majorBidi" w:hAnsiTheme="majorBidi" w:cstheme="majorBidi"/>
          <w:sz w:val="24"/>
          <w:szCs w:val="24"/>
          <w:lang w:val="en-US"/>
        </w:rPr>
        <w:t>tumour</w:t>
      </w:r>
      <w:proofErr w:type="spellEnd"/>
      <w:r w:rsidRPr="00EA4ACA">
        <w:rPr>
          <w:rFonts w:asciiTheme="majorBidi" w:hAnsiTheme="majorBidi" w:cstheme="majorBidi"/>
          <w:sz w:val="24"/>
          <w:szCs w:val="24"/>
          <w:lang w:val="en-US"/>
        </w:rPr>
        <w:t xml:space="preserve"> 5 days ago. Postoperative recovery has been unremarkable and she has started 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A4ACA">
        <w:rPr>
          <w:rFonts w:asciiTheme="majorBidi" w:hAnsiTheme="majorBidi" w:cstheme="majorBidi"/>
          <w:sz w:val="24"/>
          <w:szCs w:val="24"/>
          <w:lang w:val="en-US"/>
        </w:rPr>
        <w:t>eat and drink and opened her bowels today. You have been asked to examine her as she is complaining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A4ACA">
        <w:rPr>
          <w:rFonts w:asciiTheme="majorBidi" w:hAnsiTheme="majorBidi" w:cstheme="majorBidi"/>
          <w:sz w:val="24"/>
          <w:szCs w:val="24"/>
          <w:lang w:val="en-US"/>
        </w:rPr>
        <w:t>of pain and swelling of the left leg. There is no history of trauma to the leg.</w:t>
      </w:r>
      <w:r w:rsidRPr="00EA4A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A4ACA">
        <w:rPr>
          <w:rFonts w:asciiTheme="majorBidi" w:hAnsiTheme="majorBidi" w:cstheme="majorBidi"/>
          <w:sz w:val="24"/>
          <w:szCs w:val="24"/>
          <w:lang w:val="en-US"/>
        </w:rPr>
        <w:t>Her temperature is 37.5°C and her pulse rate is 99/min. The abdomen is soft and non-tender.</w:t>
      </w:r>
      <w:r w:rsidRPr="00EA4A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A4ACA">
        <w:rPr>
          <w:rFonts w:asciiTheme="majorBidi" w:hAnsiTheme="majorBidi" w:cstheme="majorBidi"/>
          <w:sz w:val="24"/>
          <w:szCs w:val="24"/>
          <w:lang w:val="en-US"/>
        </w:rPr>
        <w:t>The left leg is swollen to mid-thigh, with erythema of the skin. The calf feels warm and 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A4ACA">
        <w:rPr>
          <w:rFonts w:asciiTheme="majorBidi" w:hAnsiTheme="majorBidi" w:cstheme="majorBidi"/>
          <w:sz w:val="24"/>
          <w:szCs w:val="24"/>
          <w:lang w:val="en-US"/>
        </w:rPr>
        <w:t>tender to touch. The foot pulses are normal.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0"/>
        <w:gridCol w:w="4112"/>
      </w:tblGrid>
      <w:tr w:rsidR="005D5A8B" w:rsidTr="0099682C">
        <w:trPr>
          <w:trHeight w:val="285"/>
        </w:trPr>
        <w:tc>
          <w:tcPr>
            <w:tcW w:w="8522" w:type="dxa"/>
            <w:gridSpan w:val="2"/>
          </w:tcPr>
          <w:p w:rsidR="005D5A8B" w:rsidRPr="0099682C" w:rsidRDefault="005D5A8B" w:rsidP="009968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9682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INVESTIGATIONS</w:t>
            </w:r>
          </w:p>
        </w:tc>
      </w:tr>
      <w:tr w:rsidR="0099682C" w:rsidTr="0099682C">
        <w:trPr>
          <w:trHeight w:val="252"/>
        </w:trPr>
        <w:tc>
          <w:tcPr>
            <w:tcW w:w="4410" w:type="dxa"/>
          </w:tcPr>
          <w:p w:rsidR="0099682C" w:rsidRPr="0099682C" w:rsidRDefault="0099682C" w:rsidP="009968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Results</w:t>
            </w:r>
          </w:p>
        </w:tc>
        <w:tc>
          <w:tcPr>
            <w:tcW w:w="4112" w:type="dxa"/>
          </w:tcPr>
          <w:p w:rsidR="0099682C" w:rsidRPr="0099682C" w:rsidRDefault="0099682C" w:rsidP="0099682C">
            <w:pPr>
              <w:ind w:left="218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9682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Normal</w:t>
            </w:r>
          </w:p>
        </w:tc>
      </w:tr>
      <w:tr w:rsidR="0099682C" w:rsidTr="0099682C">
        <w:trPr>
          <w:trHeight w:val="2265"/>
        </w:trPr>
        <w:tc>
          <w:tcPr>
            <w:tcW w:w="4410" w:type="dxa"/>
          </w:tcPr>
          <w:p w:rsidR="0099682C" w:rsidRDefault="0099682C" w:rsidP="005D5A8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Haemoglobin</w:t>
            </w:r>
            <w:proofErr w:type="spellEnd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11.5 g/</w:t>
            </w: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</w:t>
            </w:r>
            <w:proofErr w:type="spellEnd"/>
          </w:p>
          <w:p w:rsidR="0099682C" w:rsidRDefault="0099682C" w:rsidP="005D5A8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White cell count 16.7 × 109/L</w:t>
            </w:r>
          </w:p>
          <w:p w:rsidR="0099682C" w:rsidRDefault="0099682C" w:rsidP="005D5A8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Platelets 360 × 109/L</w:t>
            </w:r>
          </w:p>
          <w:p w:rsidR="0099682C" w:rsidRDefault="0099682C" w:rsidP="005D5A8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Sodium 143 </w:t>
            </w: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mmol</w:t>
            </w:r>
            <w:proofErr w:type="spellEnd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/L</w:t>
            </w:r>
          </w:p>
          <w:p w:rsidR="0099682C" w:rsidRDefault="0099682C" w:rsidP="005D5A8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Potassium 4.6 </w:t>
            </w: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mmol</w:t>
            </w:r>
            <w:proofErr w:type="spellEnd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/L</w:t>
            </w:r>
          </w:p>
          <w:p w:rsidR="0099682C" w:rsidRDefault="0099682C" w:rsidP="005D5A8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Urea 9.5 </w:t>
            </w: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mmol</w:t>
            </w:r>
            <w:proofErr w:type="spellEnd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/L</w:t>
            </w:r>
          </w:p>
          <w:p w:rsidR="0099682C" w:rsidRDefault="0099682C" w:rsidP="005D5A8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Creatinine 71 </w:t>
            </w: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μmol</w:t>
            </w:r>
            <w:proofErr w:type="spellEnd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/L</w:t>
            </w:r>
          </w:p>
          <w:p w:rsidR="0099682C" w:rsidRPr="005D5A8B" w:rsidRDefault="0099682C" w:rsidP="005D5A8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C-reactive protein (CRT ) 100 mg/L</w:t>
            </w:r>
          </w:p>
        </w:tc>
        <w:tc>
          <w:tcPr>
            <w:tcW w:w="4112" w:type="dxa"/>
          </w:tcPr>
          <w:p w:rsidR="0099682C" w:rsidRPr="005D5A8B" w:rsidRDefault="0099682C" w:rsidP="0099682C">
            <w:pPr>
              <w:ind w:left="173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11.5–16.0 g/</w:t>
            </w: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</w:t>
            </w:r>
            <w:proofErr w:type="spellEnd"/>
          </w:p>
          <w:p w:rsidR="0099682C" w:rsidRPr="005D5A8B" w:rsidRDefault="0099682C" w:rsidP="0099682C">
            <w:pPr>
              <w:ind w:left="1722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4.0–11.0 × 109/L</w:t>
            </w:r>
          </w:p>
          <w:p w:rsidR="0099682C" w:rsidRPr="005D5A8B" w:rsidRDefault="0099682C" w:rsidP="0099682C">
            <w:pPr>
              <w:ind w:left="167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150–400 × 109/L</w:t>
            </w:r>
          </w:p>
          <w:p w:rsidR="0099682C" w:rsidRPr="005D5A8B" w:rsidRDefault="0099682C" w:rsidP="0099682C">
            <w:pPr>
              <w:ind w:left="167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135–145 </w:t>
            </w: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mmol</w:t>
            </w:r>
            <w:proofErr w:type="spellEnd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/L</w:t>
            </w:r>
          </w:p>
          <w:p w:rsidR="0099682C" w:rsidRPr="005D5A8B" w:rsidRDefault="0099682C" w:rsidP="0099682C">
            <w:pPr>
              <w:ind w:left="167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3.5–5.0 </w:t>
            </w: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mmol</w:t>
            </w:r>
            <w:proofErr w:type="spellEnd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/L</w:t>
            </w:r>
          </w:p>
          <w:p w:rsidR="0099682C" w:rsidRPr="005D5A8B" w:rsidRDefault="0099682C" w:rsidP="0099682C">
            <w:pPr>
              <w:ind w:left="1692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2.5–6.7 </w:t>
            </w: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mmol</w:t>
            </w:r>
            <w:proofErr w:type="spellEnd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/L</w:t>
            </w:r>
          </w:p>
          <w:p w:rsidR="0099682C" w:rsidRPr="005D5A8B" w:rsidRDefault="0099682C" w:rsidP="0099682C">
            <w:pPr>
              <w:ind w:left="1692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44–80 </w:t>
            </w:r>
            <w:proofErr w:type="spellStart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μmol</w:t>
            </w:r>
            <w:proofErr w:type="spellEnd"/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/L</w:t>
            </w:r>
          </w:p>
          <w:p w:rsidR="0099682C" w:rsidRPr="005D5A8B" w:rsidRDefault="0099682C" w:rsidP="0099682C">
            <w:pPr>
              <w:ind w:left="166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5A8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&lt;5 mg/L</w:t>
            </w:r>
          </w:p>
        </w:tc>
      </w:tr>
    </w:tbl>
    <w:p w:rsidR="005D5A8B" w:rsidRDefault="005D5A8B" w:rsidP="00EA4AC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06EDC" w:rsidRPr="00C06EDC" w:rsidRDefault="00C06EDC" w:rsidP="00C06EDC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b/>
          <w:bCs/>
          <w:sz w:val="24"/>
          <w:szCs w:val="24"/>
          <w:lang w:val="en-US"/>
        </w:rPr>
        <w:t>Questions</w:t>
      </w:r>
    </w:p>
    <w:p w:rsidR="00C06EDC" w:rsidRPr="00C06EDC" w:rsidRDefault="00C06EDC" w:rsidP="00C06ED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What is the most likely diagnosis? What are the differentials?</w:t>
      </w:r>
    </w:p>
    <w:p w:rsidR="00C06EDC" w:rsidRPr="00C06EDC" w:rsidRDefault="00C06EDC" w:rsidP="00C06ED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What investigation should be carried out next?</w:t>
      </w:r>
    </w:p>
    <w:p w:rsidR="00C06EDC" w:rsidRPr="00C06EDC" w:rsidRDefault="00C06EDC" w:rsidP="00C06ED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What are the risk factors associated with this condition?</w:t>
      </w:r>
    </w:p>
    <w:p w:rsidR="00C06EDC" w:rsidRPr="00C06EDC" w:rsidRDefault="00C06EDC" w:rsidP="00C06ED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How should this condition be treated?</w:t>
      </w:r>
    </w:p>
    <w:p w:rsid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What are the long-term sequelae of this condition?</w:t>
      </w:r>
    </w:p>
    <w:p w:rsid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b/>
          <w:bCs/>
          <w:sz w:val="24"/>
          <w:szCs w:val="24"/>
          <w:lang w:val="en-US"/>
        </w:rPr>
        <w:t>Answer: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The most likely diagnosis is a deep vein thrombosis (DVT). Clinical examination is notoriously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>inaccurate for making the diagnosis, as the degree of swelling and pain varies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>patients can be symptomless.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b/>
          <w:bCs/>
          <w:sz w:val="24"/>
          <w:szCs w:val="24"/>
          <w:lang w:val="en-US"/>
        </w:rPr>
        <w:t>! Differential diagnoses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Cellulitis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Lymphangitis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Soft tissue injury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spellStart"/>
      <w:r w:rsidRPr="00C06EDC">
        <w:rPr>
          <w:rFonts w:asciiTheme="majorBidi" w:hAnsiTheme="majorBidi" w:cstheme="majorBidi"/>
          <w:sz w:val="24"/>
          <w:szCs w:val="24"/>
          <w:lang w:val="en-US"/>
        </w:rPr>
        <w:t>Lymphoedema</w:t>
      </w:r>
      <w:proofErr w:type="spellEnd"/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spellStart"/>
      <w:r w:rsidRPr="00C06EDC">
        <w:rPr>
          <w:rFonts w:asciiTheme="majorBidi" w:hAnsiTheme="majorBidi" w:cstheme="majorBidi"/>
          <w:sz w:val="24"/>
          <w:szCs w:val="24"/>
          <w:lang w:val="en-US"/>
        </w:rPr>
        <w:t>Haematoma</w:t>
      </w:r>
      <w:proofErr w:type="spellEnd"/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Arterial insufficiency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Ruptured Baker’s cyst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A normal D-dimer assay (fibrin degradation products) would usually exclude a diagnosis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>DVT, but is not useful in this case as the recent surgery means that it will be positive regardless.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>The diagnosis is best confirmed using duplex ultrasonography of the deep veins.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b/>
          <w:bCs/>
          <w:sz w:val="24"/>
          <w:szCs w:val="24"/>
          <w:lang w:val="en-US"/>
        </w:rPr>
        <w:t>! Risk factors for deep vein thrombosis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lastRenderedPageBreak/>
        <w:t>• Age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Bed rest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Pregnancy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Oral contraceptive pill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Major surgery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Medical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Major trauma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Burns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Lower-extremity fractures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spellStart"/>
      <w:r w:rsidRPr="00C06EDC">
        <w:rPr>
          <w:rFonts w:asciiTheme="majorBidi" w:hAnsiTheme="majorBidi" w:cstheme="majorBidi"/>
          <w:sz w:val="24"/>
          <w:szCs w:val="24"/>
          <w:lang w:val="en-US"/>
        </w:rPr>
        <w:t>Haematological</w:t>
      </w:r>
      <w:proofErr w:type="spellEnd"/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Thrombocytosis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spellStart"/>
      <w:r w:rsidRPr="00C06EDC">
        <w:rPr>
          <w:rFonts w:asciiTheme="majorBidi" w:hAnsiTheme="majorBidi" w:cstheme="majorBidi"/>
          <w:sz w:val="24"/>
          <w:szCs w:val="24"/>
          <w:lang w:val="en-US"/>
        </w:rPr>
        <w:t>Polycythaemia</w:t>
      </w:r>
      <w:proofErr w:type="spellEnd"/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Protein S deficiency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Protein C deficiency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spellStart"/>
      <w:r w:rsidRPr="00C06EDC">
        <w:rPr>
          <w:rFonts w:asciiTheme="majorBidi" w:hAnsiTheme="majorBidi" w:cstheme="majorBidi"/>
          <w:sz w:val="24"/>
          <w:szCs w:val="24"/>
          <w:lang w:val="en-US"/>
        </w:rPr>
        <w:t>Antithrombin</w:t>
      </w:r>
      <w:proofErr w:type="spellEnd"/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 III deficiency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Factor V Leiden</w:t>
      </w:r>
    </w:p>
    <w:p w:rsid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Anticoagulation is the mainstay of treatment, aimed at preventing extension of the thrombus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>and reducing the risk of pulmonary embolism. Therapeutic low-molecular-weight heparin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>and warfarin are commenced at the same time. Heparin is stopped when the international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>normalized ratio (INR) becomes therapeutic. The target INR is usually in the range of 2–3.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Some authorities do not treat DVT confined to the calf because of the very low risk of </w:t>
      </w:r>
      <w:proofErr w:type="spellStart"/>
      <w:r w:rsidRPr="00C06EDC">
        <w:rPr>
          <w:rFonts w:asciiTheme="majorBidi" w:hAnsiTheme="majorBidi" w:cstheme="majorBidi"/>
          <w:sz w:val="24"/>
          <w:szCs w:val="24"/>
          <w:lang w:val="en-US"/>
        </w:rPr>
        <w:t>pulmonaryembolism</w:t>
      </w:r>
      <w:proofErr w:type="spellEnd"/>
      <w:r w:rsidRPr="00C06EDC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>DVT can result in venous hypertension, and long-term consequences include the post-thrombotic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syndrome, which consists of leg pain, swelling, </w:t>
      </w:r>
      <w:proofErr w:type="spellStart"/>
      <w:r w:rsidRPr="00C06EDC">
        <w:rPr>
          <w:rFonts w:asciiTheme="majorBidi" w:hAnsiTheme="majorBidi" w:cstheme="majorBidi"/>
          <w:sz w:val="24"/>
          <w:szCs w:val="24"/>
          <w:lang w:val="en-US"/>
        </w:rPr>
        <w:t>lipodermatosclerosis</w:t>
      </w:r>
      <w:proofErr w:type="spellEnd"/>
      <w:r w:rsidRPr="00C06EDC">
        <w:rPr>
          <w:rFonts w:asciiTheme="majorBidi" w:hAnsiTheme="majorBidi" w:cstheme="majorBidi"/>
          <w:sz w:val="24"/>
          <w:szCs w:val="24"/>
          <w:lang w:val="en-US"/>
        </w:rPr>
        <w:t xml:space="preserve"> and ulceration.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b/>
          <w:bCs/>
          <w:sz w:val="24"/>
          <w:szCs w:val="24"/>
          <w:lang w:val="en-US"/>
        </w:rPr>
        <w:t>KEY POINTS</w:t>
      </w:r>
    </w:p>
    <w:p w:rsidR="00C06EDC" w:rsidRPr="00C06EDC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Treatment should be commenced once a DVT has been diagnosed clinically.</w:t>
      </w:r>
    </w:p>
    <w:p w:rsidR="00C06EDC" w:rsidRPr="00EA4ACA" w:rsidRDefault="00C06EDC" w:rsidP="00C06E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EDC">
        <w:rPr>
          <w:rFonts w:asciiTheme="majorBidi" w:hAnsiTheme="majorBidi" w:cstheme="majorBidi"/>
          <w:sz w:val="24"/>
          <w:szCs w:val="24"/>
          <w:lang w:val="en-US"/>
        </w:rPr>
        <w:t>• The diagnosis is confirmed with ultrasound.</w:t>
      </w:r>
    </w:p>
    <w:sectPr w:rsidR="00C06EDC" w:rsidRPr="00EA4AC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9C" w:rsidRDefault="00FB379C" w:rsidP="00EA4ACA">
      <w:pPr>
        <w:spacing w:after="0" w:line="240" w:lineRule="auto"/>
      </w:pPr>
      <w:r>
        <w:separator/>
      </w:r>
    </w:p>
  </w:endnote>
  <w:endnote w:type="continuationSeparator" w:id="0">
    <w:p w:rsidR="00FB379C" w:rsidRDefault="00FB379C" w:rsidP="00EA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9C" w:rsidRDefault="00FB379C" w:rsidP="00EA4ACA">
      <w:pPr>
        <w:spacing w:after="0" w:line="240" w:lineRule="auto"/>
      </w:pPr>
      <w:r>
        <w:separator/>
      </w:r>
    </w:p>
  </w:footnote>
  <w:footnote w:type="continuationSeparator" w:id="0">
    <w:p w:rsidR="00FB379C" w:rsidRDefault="00FB379C" w:rsidP="00EA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77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72"/>
    </w:tblGrid>
    <w:tr w:rsidR="00EA4ACA" w:rsidTr="00EA4ACA">
      <w:trPr>
        <w:trHeight w:val="288"/>
      </w:trPr>
      <w:sdt>
        <w:sdtPr>
          <w:rPr>
            <w:rFonts w:asciiTheme="majorBidi" w:eastAsiaTheme="majorEastAsia" w:hAnsiTheme="majorBidi" w:cstheme="majorBidi"/>
            <w:b/>
            <w:bCs/>
            <w:i/>
            <w:iCs/>
            <w:sz w:val="24"/>
            <w:szCs w:val="24"/>
          </w:rPr>
          <w:alias w:val="Title"/>
          <w:id w:val="77761602"/>
          <w:placeholder>
            <w:docPart w:val="6A8B048528434E0B8333EFC88C0DC17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73" w:type="dxa"/>
            </w:tcPr>
            <w:p w:rsidR="00EA4ACA" w:rsidRPr="00EA4ACA" w:rsidRDefault="00EA4ACA" w:rsidP="00EA4ACA">
              <w:pPr>
                <w:pStyle w:val="Header"/>
                <w:jc w:val="center"/>
                <w:rPr>
                  <w:rFonts w:asciiTheme="majorBidi" w:eastAsiaTheme="majorEastAsia" w:hAnsiTheme="majorBidi" w:cstheme="majorBidi"/>
                  <w:b/>
                  <w:bCs/>
                  <w:i/>
                  <w:iCs/>
                  <w:sz w:val="24"/>
                  <w:szCs w:val="24"/>
                </w:rPr>
              </w:pPr>
              <w:r w:rsidRPr="00EA4ACA">
                <w:rPr>
                  <w:rFonts w:asciiTheme="majorBidi" w:eastAsiaTheme="majorEastAsia" w:hAnsiTheme="majorBidi" w:cstheme="majorBidi"/>
                  <w:b/>
                  <w:bCs/>
                  <w:i/>
                  <w:iCs/>
                  <w:sz w:val="24"/>
                  <w:szCs w:val="24"/>
                </w:rPr>
                <w:t>DVT</w:t>
              </w:r>
            </w:p>
          </w:tc>
        </w:sdtContent>
      </w:sdt>
    </w:tr>
  </w:tbl>
  <w:p w:rsidR="00EA4ACA" w:rsidRDefault="00EA4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0D"/>
    <w:rsid w:val="00180EC5"/>
    <w:rsid w:val="0032220D"/>
    <w:rsid w:val="005D5A8B"/>
    <w:rsid w:val="0099682C"/>
    <w:rsid w:val="00C06EDC"/>
    <w:rsid w:val="00EA4ACA"/>
    <w:rsid w:val="00F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CA"/>
  </w:style>
  <w:style w:type="paragraph" w:styleId="Footer">
    <w:name w:val="footer"/>
    <w:basedOn w:val="Normal"/>
    <w:link w:val="FooterChar"/>
    <w:uiPriority w:val="99"/>
    <w:unhideWhenUsed/>
    <w:rsid w:val="00EA4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CA"/>
  </w:style>
  <w:style w:type="paragraph" w:styleId="BalloonText">
    <w:name w:val="Balloon Text"/>
    <w:basedOn w:val="Normal"/>
    <w:link w:val="BalloonTextChar"/>
    <w:uiPriority w:val="99"/>
    <w:semiHidden/>
    <w:unhideWhenUsed/>
    <w:rsid w:val="00EA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CA"/>
  </w:style>
  <w:style w:type="paragraph" w:styleId="Footer">
    <w:name w:val="footer"/>
    <w:basedOn w:val="Normal"/>
    <w:link w:val="FooterChar"/>
    <w:uiPriority w:val="99"/>
    <w:unhideWhenUsed/>
    <w:rsid w:val="00EA4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CA"/>
  </w:style>
  <w:style w:type="paragraph" w:styleId="BalloonText">
    <w:name w:val="Balloon Text"/>
    <w:basedOn w:val="Normal"/>
    <w:link w:val="BalloonTextChar"/>
    <w:uiPriority w:val="99"/>
    <w:semiHidden/>
    <w:unhideWhenUsed/>
    <w:rsid w:val="00EA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8B048528434E0B8333EFC88C0DC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66E1-0A66-4423-80BA-13A20FE11B71}"/>
      </w:docPartPr>
      <w:docPartBody>
        <w:p w:rsidR="00000000" w:rsidRDefault="00C151ED" w:rsidP="00C151ED">
          <w:pPr>
            <w:pStyle w:val="6A8B048528434E0B8333EFC88C0DC17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ED"/>
    <w:rsid w:val="006F24B3"/>
    <w:rsid w:val="00C1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65DE8287D843879374BC44C18B4397">
    <w:name w:val="8A65DE8287D843879374BC44C18B4397"/>
    <w:rsid w:val="00C151ED"/>
  </w:style>
  <w:style w:type="paragraph" w:customStyle="1" w:styleId="92C6DC864175423180F9AFCC85E05AD5">
    <w:name w:val="92C6DC864175423180F9AFCC85E05AD5"/>
    <w:rsid w:val="00C151ED"/>
  </w:style>
  <w:style w:type="paragraph" w:customStyle="1" w:styleId="6A8B048528434E0B8333EFC88C0DC17E">
    <w:name w:val="6A8B048528434E0B8333EFC88C0DC17E"/>
    <w:rsid w:val="00C151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65DE8287D843879374BC44C18B4397">
    <w:name w:val="8A65DE8287D843879374BC44C18B4397"/>
    <w:rsid w:val="00C151ED"/>
  </w:style>
  <w:style w:type="paragraph" w:customStyle="1" w:styleId="92C6DC864175423180F9AFCC85E05AD5">
    <w:name w:val="92C6DC864175423180F9AFCC85E05AD5"/>
    <w:rsid w:val="00C151ED"/>
  </w:style>
  <w:style w:type="paragraph" w:customStyle="1" w:styleId="6A8B048528434E0B8333EFC88C0DC17E">
    <w:name w:val="6A8B048528434E0B8333EFC88C0DC17E"/>
    <w:rsid w:val="00C15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2500</Characters>
  <Application>Microsoft Office Word</Application>
  <DocSecurity>0</DocSecurity>
  <Lines>20</Lines>
  <Paragraphs>5</Paragraphs>
  <ScaleCrop>false</ScaleCrop>
  <Company>Enjoy My Fine Releases.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DVT</dc:title>
  <dc:subject/>
  <dc:creator>DR.Ahmed Saker 2O11</dc:creator>
  <cp:keywords/>
  <dc:description/>
  <cp:lastModifiedBy>DR.Ahmed Saker 2O11</cp:lastModifiedBy>
  <cp:revision>5</cp:revision>
  <dcterms:created xsi:type="dcterms:W3CDTF">2018-04-21T06:00:00Z</dcterms:created>
  <dcterms:modified xsi:type="dcterms:W3CDTF">2018-04-21T06:07:00Z</dcterms:modified>
</cp:coreProperties>
</file>