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9E" w:rsidRDefault="009B499E" w:rsidP="00BC632C">
      <w:pPr>
        <w:bidi w:val="0"/>
        <w:rPr>
          <w:b/>
          <w:bCs/>
          <w:sz w:val="28"/>
          <w:szCs w:val="28"/>
        </w:rPr>
      </w:pPr>
      <w:r>
        <w:rPr>
          <w:b/>
          <w:bCs/>
          <w:sz w:val="28"/>
          <w:szCs w:val="28"/>
        </w:rPr>
        <w:t xml:space="preserve">Pharmacognosy II                     Lec </w:t>
      </w:r>
      <w:r w:rsidR="00BC632C">
        <w:rPr>
          <w:b/>
          <w:bCs/>
          <w:sz w:val="28"/>
          <w:szCs w:val="28"/>
        </w:rPr>
        <w:t>1</w:t>
      </w:r>
    </w:p>
    <w:p w:rsidR="000C5CB3" w:rsidRPr="00F80DC2" w:rsidRDefault="00A96AA4" w:rsidP="009B499E">
      <w:pPr>
        <w:bidi w:val="0"/>
        <w:rPr>
          <w:b/>
          <w:bCs/>
          <w:sz w:val="28"/>
          <w:szCs w:val="28"/>
        </w:rPr>
      </w:pPr>
      <w:r w:rsidRPr="00F80DC2">
        <w:rPr>
          <w:b/>
          <w:bCs/>
          <w:sz w:val="28"/>
          <w:szCs w:val="28"/>
        </w:rPr>
        <w:t xml:space="preserve">Natural products </w:t>
      </w:r>
    </w:p>
    <w:p w:rsidR="00F80DC2" w:rsidRDefault="00F80DC2" w:rsidP="00F80DC2">
      <w:pPr>
        <w:bidi w:val="0"/>
        <w:rPr>
          <w:lang w:bidi="ar-IQ"/>
        </w:rPr>
      </w:pPr>
    </w:p>
    <w:p w:rsidR="00F80DC2" w:rsidRDefault="00F80DC2" w:rsidP="00427AD5">
      <w:pPr>
        <w:bidi w:val="0"/>
        <w:spacing w:line="360" w:lineRule="auto"/>
        <w:jc w:val="both"/>
        <w:rPr>
          <w:lang w:bidi="ar-IQ"/>
        </w:rPr>
      </w:pPr>
      <w:r>
        <w:rPr>
          <w:lang w:bidi="ar-IQ"/>
        </w:rPr>
        <w:t>Are defined as organic compounds in the molecular range 100-2000. The term is also applied to bulk substances from nature, such as crude plant material, food</w:t>
      </w:r>
      <w:r w:rsidR="00C47BBB">
        <w:rPr>
          <w:lang w:bidi="ar-IQ"/>
        </w:rPr>
        <w:t xml:space="preserve"> </w:t>
      </w:r>
      <w:r>
        <w:rPr>
          <w:lang w:bidi="ar-IQ"/>
        </w:rPr>
        <w:t>stuffs, resin and exudates from plants or extracts (alcoholic or water) of plant material. The term can be extended to pure single compound of natural occurrence</w:t>
      </w:r>
      <w:r w:rsidR="00427AD5">
        <w:rPr>
          <w:lang w:bidi="ar-IQ"/>
        </w:rPr>
        <w:t xml:space="preserve"> for example morphine.</w:t>
      </w:r>
    </w:p>
    <w:p w:rsidR="00427AD5" w:rsidRDefault="00427AD5" w:rsidP="00427AD5">
      <w:pPr>
        <w:bidi w:val="0"/>
        <w:spacing w:line="360" w:lineRule="auto"/>
        <w:rPr>
          <w:lang w:bidi="ar-IQ"/>
        </w:rPr>
      </w:pPr>
      <w:r>
        <w:rPr>
          <w:lang w:bidi="ar-IQ"/>
        </w:rPr>
        <w:t>Historically, natural products form the basis of medicine, and even now, many of the compounds that are medicinally important are derived from natural sources. It is highly likely that these compounds produce by the plant as defense mechanism to protect the plant or animal from attack (</w:t>
      </w:r>
      <w:r w:rsidRPr="00427AD5">
        <w:rPr>
          <w:b/>
          <w:bCs/>
          <w:lang w:bidi="ar-IQ"/>
        </w:rPr>
        <w:t>phytoalexins</w:t>
      </w:r>
      <w:r>
        <w:rPr>
          <w:lang w:bidi="ar-IQ"/>
        </w:rPr>
        <w:t>)</w:t>
      </w:r>
    </w:p>
    <w:p w:rsidR="00427AD5" w:rsidRDefault="00427AD5" w:rsidP="002F26FA">
      <w:pPr>
        <w:bidi w:val="0"/>
        <w:spacing w:line="360" w:lineRule="auto"/>
        <w:rPr>
          <w:lang w:bidi="ar-IQ"/>
        </w:rPr>
      </w:pPr>
      <w:r>
        <w:rPr>
          <w:lang w:bidi="ar-IQ"/>
        </w:rPr>
        <w:t xml:space="preserve">Medicinal agents can be </w:t>
      </w:r>
      <w:r w:rsidR="00E5148C">
        <w:rPr>
          <w:lang w:bidi="ar-IQ"/>
        </w:rPr>
        <w:t>purely natural compound (eg. cla</w:t>
      </w:r>
      <w:r w:rsidR="002F26FA">
        <w:rPr>
          <w:lang w:bidi="ar-IQ"/>
        </w:rPr>
        <w:t xml:space="preserve">vulanic acid form bacteria), or semisynthetic compound like aspirin (acetyl salicylic acid derived from salicylic acid from the tree Salix, or a compound that is totally synthetic based on natural compound like pethidine from morphine (Figure </w:t>
      </w:r>
      <w:r w:rsidR="002F26FA" w:rsidRPr="002F26FA">
        <w:rPr>
          <w:b/>
          <w:bCs/>
          <w:lang w:bidi="ar-IQ"/>
        </w:rPr>
        <w:t>1</w:t>
      </w:r>
      <w:r w:rsidR="002F26FA">
        <w:rPr>
          <w:lang w:bidi="ar-IQ"/>
        </w:rPr>
        <w:t xml:space="preserve">)  </w:t>
      </w:r>
    </w:p>
    <w:p w:rsidR="002F26FA" w:rsidRDefault="002F26FA" w:rsidP="002F26FA">
      <w:pPr>
        <w:bidi w:val="0"/>
        <w:spacing w:line="360" w:lineRule="auto"/>
        <w:rPr>
          <w:lang w:bidi="ar-IQ"/>
        </w:rPr>
      </w:pPr>
    </w:p>
    <w:p w:rsidR="00342945" w:rsidRDefault="00342945" w:rsidP="00D55605">
      <w:pPr>
        <w:bidi w:val="0"/>
        <w:spacing w:line="360" w:lineRule="auto"/>
        <w:jc w:val="right"/>
      </w:pPr>
    </w:p>
    <w:p w:rsidR="00D55605" w:rsidRDefault="00D55605" w:rsidP="00342945">
      <w:pPr>
        <w:bidi w:val="0"/>
        <w:spacing w:line="360" w:lineRule="auto"/>
        <w:jc w:val="right"/>
      </w:pPr>
      <w:r>
        <w:object w:dxaOrig="7690" w:dyaOrig="6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17.25pt" o:ole="">
            <v:imagedata r:id="rId6" o:title=""/>
          </v:shape>
          <o:OLEObject Type="Embed" ProgID="ChemDraw.Document.6.0" ShapeID="_x0000_i1025" DrawAspect="Content" ObjectID="_1643556218" r:id="rId7"/>
        </w:object>
      </w:r>
    </w:p>
    <w:p w:rsidR="00342945" w:rsidRDefault="00342945" w:rsidP="00342945">
      <w:pPr>
        <w:bidi w:val="0"/>
        <w:spacing w:line="360" w:lineRule="auto"/>
        <w:jc w:val="right"/>
      </w:pPr>
    </w:p>
    <w:p w:rsidR="00870A10" w:rsidRPr="00F319A8" w:rsidRDefault="00870A10" w:rsidP="00E63CFD">
      <w:pPr>
        <w:bidi w:val="0"/>
        <w:spacing w:line="360" w:lineRule="auto"/>
        <w:jc w:val="both"/>
        <w:rPr>
          <w:b/>
          <w:bCs/>
        </w:rPr>
      </w:pPr>
      <w:r w:rsidRPr="00F319A8">
        <w:rPr>
          <w:b/>
          <w:bCs/>
        </w:rPr>
        <w:lastRenderedPageBreak/>
        <w:t xml:space="preserve">There are </w:t>
      </w:r>
      <w:r w:rsidR="00F319A8" w:rsidRPr="00F319A8">
        <w:rPr>
          <w:b/>
          <w:bCs/>
        </w:rPr>
        <w:t>different approaches to discover a new drug lead compound:-</w:t>
      </w:r>
    </w:p>
    <w:p w:rsidR="00342945" w:rsidRDefault="00342945" w:rsidP="00870A10">
      <w:pPr>
        <w:bidi w:val="0"/>
        <w:spacing w:line="360" w:lineRule="auto"/>
        <w:jc w:val="both"/>
        <w:rPr>
          <w:lang w:bidi="ar-IQ"/>
        </w:rPr>
      </w:pPr>
      <w:r>
        <w:t xml:space="preserve">In the </w:t>
      </w:r>
      <w:r w:rsidRPr="00E63CFD">
        <w:rPr>
          <w:b/>
          <w:bCs/>
        </w:rPr>
        <w:t>ethnobotanical</w:t>
      </w:r>
      <w:r>
        <w:t xml:space="preserve"> approach</w:t>
      </w:r>
      <w:r>
        <w:rPr>
          <w:lang w:bidi="ar-IQ"/>
        </w:rPr>
        <w:t>, knowledge of the use of a particular plant by an indigenous people</w:t>
      </w:r>
      <w:r w:rsidR="00E63CFD">
        <w:rPr>
          <w:lang w:bidi="ar-IQ"/>
        </w:rPr>
        <w:t xml:space="preserve"> is used to direct a search for a drug lead, for example ethnobotanist used the plant curare which contains the alkaloid tubacurarine to hunt the animal for food. The plant acts as muscle relaxant which kills the animals by paralysis of the muscles required to breath. </w:t>
      </w:r>
    </w:p>
    <w:p w:rsidR="00C24750" w:rsidRDefault="00C24750" w:rsidP="00E63CFD">
      <w:pPr>
        <w:bidi w:val="0"/>
        <w:spacing w:line="360" w:lineRule="auto"/>
        <w:jc w:val="both"/>
        <w:rPr>
          <w:lang w:bidi="ar-IQ"/>
        </w:rPr>
      </w:pPr>
      <w:r>
        <w:rPr>
          <w:lang w:bidi="ar-IQ"/>
        </w:rPr>
        <w:t xml:space="preserve">In </w:t>
      </w:r>
      <w:r w:rsidRPr="00C24750">
        <w:rPr>
          <w:b/>
          <w:bCs/>
          <w:lang w:bidi="ar-IQ"/>
        </w:rPr>
        <w:t>random</w:t>
      </w:r>
      <w:r>
        <w:rPr>
          <w:lang w:bidi="ar-IQ"/>
        </w:rPr>
        <w:t xml:space="preserve"> approach the plants are collected regardless of any previous knowledge of their chemistry or biological activities.</w:t>
      </w:r>
    </w:p>
    <w:p w:rsidR="00E63CFD" w:rsidRDefault="00C24750" w:rsidP="008006D2">
      <w:pPr>
        <w:bidi w:val="0"/>
        <w:spacing w:line="360" w:lineRule="auto"/>
        <w:jc w:val="both"/>
        <w:rPr>
          <w:lang w:bidi="ar-IQ"/>
        </w:rPr>
      </w:pPr>
      <w:r>
        <w:rPr>
          <w:lang w:bidi="ar-IQ"/>
        </w:rPr>
        <w:t xml:space="preserve">Other approach is </w:t>
      </w:r>
      <w:r w:rsidR="008006D2">
        <w:rPr>
          <w:lang w:bidi="ar-IQ"/>
        </w:rPr>
        <w:t>the</w:t>
      </w:r>
      <w:r>
        <w:rPr>
          <w:lang w:bidi="ar-IQ"/>
        </w:rPr>
        <w:t xml:space="preserve"> </w:t>
      </w:r>
      <w:r w:rsidRPr="00C24750">
        <w:rPr>
          <w:b/>
          <w:bCs/>
          <w:lang w:bidi="ar-IQ"/>
        </w:rPr>
        <w:t>chemotaxonomic</w:t>
      </w:r>
      <w:r>
        <w:rPr>
          <w:b/>
          <w:bCs/>
          <w:lang w:bidi="ar-IQ"/>
        </w:rPr>
        <w:t xml:space="preserve"> </w:t>
      </w:r>
      <w:r>
        <w:rPr>
          <w:lang w:bidi="ar-IQ"/>
        </w:rPr>
        <w:t xml:space="preserve">approach relies on the fact that some families </w:t>
      </w:r>
      <w:r w:rsidR="008006D2">
        <w:rPr>
          <w:lang w:bidi="ar-IQ"/>
        </w:rPr>
        <w:t>contain</w:t>
      </w:r>
      <w:r>
        <w:rPr>
          <w:lang w:bidi="ar-IQ"/>
        </w:rPr>
        <w:t xml:space="preserve"> t</w:t>
      </w:r>
      <w:r w:rsidR="005A39E9">
        <w:rPr>
          <w:lang w:bidi="ar-IQ"/>
        </w:rPr>
        <w:t>he same type of compounds</w:t>
      </w:r>
      <w:r>
        <w:rPr>
          <w:lang w:bidi="ar-IQ"/>
        </w:rPr>
        <w:t xml:space="preserve">. A good example </w:t>
      </w:r>
      <w:r w:rsidR="00470EAA">
        <w:rPr>
          <w:lang w:bidi="ar-IQ"/>
        </w:rPr>
        <w:t xml:space="preserve">of this is the family Solanaceae which is </w:t>
      </w:r>
      <w:r w:rsidR="005A39E9">
        <w:rPr>
          <w:lang w:bidi="ar-IQ"/>
        </w:rPr>
        <w:t>rich</w:t>
      </w:r>
      <w:r w:rsidR="00470EAA">
        <w:rPr>
          <w:lang w:bidi="ar-IQ"/>
        </w:rPr>
        <w:t xml:space="preserve"> sources for the alkaloid</w:t>
      </w:r>
      <w:r w:rsidR="008006D2">
        <w:rPr>
          <w:lang w:bidi="ar-IQ"/>
        </w:rPr>
        <w:t>s</w:t>
      </w:r>
      <w:r w:rsidR="00470EAA">
        <w:rPr>
          <w:lang w:bidi="ar-IQ"/>
        </w:rPr>
        <w:t xml:space="preserve"> of tropane type.</w:t>
      </w:r>
    </w:p>
    <w:p w:rsidR="00594544" w:rsidRDefault="00594544" w:rsidP="00594544">
      <w:pPr>
        <w:bidi w:val="0"/>
        <w:spacing w:line="360" w:lineRule="auto"/>
        <w:jc w:val="both"/>
        <w:rPr>
          <w:lang w:bidi="ar-IQ"/>
        </w:rPr>
      </w:pPr>
    </w:p>
    <w:p w:rsidR="005A39E9" w:rsidRDefault="00594544" w:rsidP="005A39E9">
      <w:pPr>
        <w:bidi w:val="0"/>
        <w:spacing w:line="360" w:lineRule="auto"/>
        <w:jc w:val="both"/>
        <w:rPr>
          <w:b/>
          <w:bCs/>
          <w:sz w:val="28"/>
          <w:szCs w:val="28"/>
          <w:lang w:bidi="ar-IQ"/>
        </w:rPr>
      </w:pPr>
      <w:r w:rsidRPr="00594544">
        <w:rPr>
          <w:b/>
          <w:bCs/>
          <w:sz w:val="28"/>
          <w:szCs w:val="28"/>
          <w:lang w:bidi="ar-IQ"/>
        </w:rPr>
        <w:t>Polyketides</w:t>
      </w:r>
    </w:p>
    <w:p w:rsidR="00594544" w:rsidRDefault="00594544" w:rsidP="00594544">
      <w:pPr>
        <w:bidi w:val="0"/>
        <w:spacing w:line="360" w:lineRule="auto"/>
        <w:jc w:val="both"/>
        <w:rPr>
          <w:lang w:bidi="ar-IQ"/>
        </w:rPr>
      </w:pPr>
      <w:r w:rsidRPr="00594544">
        <w:rPr>
          <w:lang w:bidi="ar-IQ"/>
        </w:rPr>
        <w:t xml:space="preserve">Natural products </w:t>
      </w:r>
      <w:r>
        <w:rPr>
          <w:lang w:bidi="ar-IQ"/>
        </w:rPr>
        <w:t>form a group of therapeutically important compounds, comprising many antibiotics (tetracycline and erythromycin), fatty acids, anthrone purgative glycosides and anthracyclic antituomor agents.</w:t>
      </w:r>
    </w:p>
    <w:p w:rsidR="00B90CC5" w:rsidRDefault="00594544" w:rsidP="00A96AA4">
      <w:pPr>
        <w:bidi w:val="0"/>
        <w:spacing w:line="360" w:lineRule="auto"/>
        <w:jc w:val="both"/>
        <w:rPr>
          <w:lang w:bidi="ar-IQ"/>
        </w:rPr>
      </w:pPr>
      <w:r>
        <w:rPr>
          <w:lang w:bidi="ar-IQ"/>
        </w:rPr>
        <w:t xml:space="preserve">The biosynthesis of these compounds begins with (Figure </w:t>
      </w:r>
      <w:r w:rsidRPr="00594544">
        <w:rPr>
          <w:b/>
          <w:bCs/>
          <w:lang w:bidi="ar-IQ"/>
        </w:rPr>
        <w:t>2</w:t>
      </w:r>
      <w:r>
        <w:rPr>
          <w:lang w:bidi="ar-IQ"/>
        </w:rPr>
        <w:t>)</w:t>
      </w:r>
      <w:r w:rsidR="00A03802">
        <w:rPr>
          <w:lang w:bidi="ar-IQ"/>
        </w:rPr>
        <w:t xml:space="preserve"> the condensation of one molecule of malonyl co enzyme A with one molecule of acetyl coenzyme A, to form the simple polyketide acetoaetyl-</w:t>
      </w:r>
      <w:r w:rsidR="005626A3">
        <w:rPr>
          <w:lang w:bidi="ar-IQ"/>
        </w:rPr>
        <w:t>C</w:t>
      </w:r>
      <w:r w:rsidR="00A03802">
        <w:rPr>
          <w:lang w:bidi="ar-IQ"/>
        </w:rPr>
        <w:t>oA. In this Clasien reaction the acidic carbon (between</w:t>
      </w:r>
      <w:r w:rsidR="005626A3">
        <w:rPr>
          <w:lang w:bidi="ar-IQ"/>
        </w:rPr>
        <w:t xml:space="preserve"> the </w:t>
      </w:r>
      <w:r w:rsidR="00A03802">
        <w:rPr>
          <w:lang w:bidi="ar-IQ"/>
        </w:rPr>
        <w:t>two</w:t>
      </w:r>
      <w:r w:rsidR="005626A3">
        <w:rPr>
          <w:lang w:bidi="ar-IQ"/>
        </w:rPr>
        <w:t xml:space="preserve"> electron withdrawal group</w:t>
      </w:r>
      <w:r w:rsidR="00A03802">
        <w:rPr>
          <w:lang w:bidi="ar-IQ"/>
        </w:rPr>
        <w:t xml:space="preserve"> carbonyl) is the </w:t>
      </w:r>
      <w:r w:rsidR="00971319">
        <w:rPr>
          <w:lang w:bidi="ar-IQ"/>
        </w:rPr>
        <w:t>nucleophile that attacks</w:t>
      </w:r>
      <w:r w:rsidR="00A03802">
        <w:rPr>
          <w:lang w:bidi="ar-IQ"/>
        </w:rPr>
        <w:t xml:space="preserve"> the electropositive (electron deficient) centre (the carbonyl group</w:t>
      </w:r>
      <w:r w:rsidR="005626A3">
        <w:rPr>
          <w:lang w:bidi="ar-IQ"/>
        </w:rPr>
        <w:t>)</w:t>
      </w:r>
      <w:r w:rsidR="00A03802">
        <w:rPr>
          <w:lang w:bidi="ar-IQ"/>
        </w:rPr>
        <w:t>.</w:t>
      </w:r>
    </w:p>
    <w:p w:rsidR="00E43E91" w:rsidRDefault="00993B02" w:rsidP="00E43E91">
      <w:pPr>
        <w:bidi w:val="0"/>
        <w:spacing w:line="360" w:lineRule="auto"/>
        <w:jc w:val="both"/>
        <w:rPr>
          <w:lang w:bidi="ar-IQ"/>
        </w:rPr>
      </w:pPr>
      <w:r>
        <w:object w:dxaOrig="8493" w:dyaOrig="5325">
          <v:shape id="_x0000_i1026" type="#_x0000_t75" style="width:403.5pt;height:253.5pt" o:ole="">
            <v:imagedata r:id="rId8" o:title=""/>
          </v:shape>
          <o:OLEObject Type="Embed" ProgID="ChemDraw.Document.6.0" ShapeID="_x0000_i1026" DrawAspect="Content" ObjectID="_1643556219" r:id="rId9"/>
        </w:object>
      </w:r>
    </w:p>
    <w:p w:rsidR="00FA3252" w:rsidRDefault="00A03802" w:rsidP="00892EF1">
      <w:pPr>
        <w:bidi w:val="0"/>
        <w:spacing w:line="360" w:lineRule="auto"/>
        <w:jc w:val="both"/>
        <w:rPr>
          <w:lang w:bidi="ar-IQ"/>
        </w:rPr>
      </w:pPr>
      <w:r>
        <w:rPr>
          <w:lang w:bidi="ar-IQ"/>
        </w:rPr>
        <w:lastRenderedPageBreak/>
        <w:t xml:space="preserve">  </w:t>
      </w:r>
      <w:r w:rsidR="009B2C57">
        <w:rPr>
          <w:lang w:bidi="ar-IQ"/>
        </w:rPr>
        <w:t>Polyketide is the source of the tetracycline member of compounds</w:t>
      </w:r>
      <w:r w:rsidR="00170FAC">
        <w:rPr>
          <w:lang w:bidi="ar-IQ"/>
        </w:rPr>
        <w:t xml:space="preserve"> (Figure </w:t>
      </w:r>
      <w:r w:rsidR="00170FAC" w:rsidRPr="00170FAC">
        <w:rPr>
          <w:b/>
          <w:bCs/>
          <w:lang w:bidi="ar-IQ"/>
        </w:rPr>
        <w:t>3</w:t>
      </w:r>
      <w:r w:rsidR="00170FAC">
        <w:rPr>
          <w:lang w:bidi="ar-IQ"/>
        </w:rPr>
        <w:t>), C-10, C-11, C-12 and C-1 are oxygenated, indicating that the precursor of these type of compounds is a poly-β-ketoester.</w:t>
      </w:r>
    </w:p>
    <w:p w:rsidR="005626A3" w:rsidRDefault="00892EF1" w:rsidP="00892EF1">
      <w:pPr>
        <w:bidi w:val="0"/>
        <w:spacing w:line="360" w:lineRule="auto"/>
        <w:jc w:val="center"/>
        <w:rPr>
          <w:lang w:bidi="ar-IQ"/>
        </w:rPr>
      </w:pPr>
      <w:r>
        <w:object w:dxaOrig="2916" w:dyaOrig="2186">
          <v:shape id="_x0000_i1027" type="#_x0000_t75" style="width:125.25pt;height:94.5pt" o:ole="">
            <v:imagedata r:id="rId10" o:title=""/>
          </v:shape>
          <o:OLEObject Type="Embed" ProgID="ChemDraw.Document.6.0" ShapeID="_x0000_i1027" DrawAspect="Content" ObjectID="_1643556220" r:id="rId11"/>
        </w:object>
      </w:r>
    </w:p>
    <w:p w:rsidR="00FA3252" w:rsidRPr="001E3E5E" w:rsidRDefault="00FA3252" w:rsidP="001E3E5E">
      <w:pPr>
        <w:bidi w:val="0"/>
        <w:spacing w:line="360" w:lineRule="auto"/>
        <w:jc w:val="both"/>
        <w:rPr>
          <w:lang w:bidi="ar-IQ"/>
        </w:rPr>
      </w:pPr>
      <w:r>
        <w:rPr>
          <w:lang w:bidi="ar-IQ"/>
        </w:rPr>
        <w:t>A further group of polyketide-derived natural products is the statins (lower cholesterol by inhibiting the formation of mevalonic acid which is the key intermediate in the synthesis of cholesterol), the macrolide antibiotic erythromycin and Griseofulvin.</w:t>
      </w:r>
    </w:p>
    <w:p w:rsidR="00FA3252" w:rsidRPr="001E3E5E" w:rsidRDefault="00FA3252" w:rsidP="001E3E5E">
      <w:pPr>
        <w:bidi w:val="0"/>
        <w:spacing w:line="360" w:lineRule="auto"/>
        <w:jc w:val="both"/>
        <w:rPr>
          <w:b/>
          <w:bCs/>
          <w:sz w:val="28"/>
          <w:szCs w:val="28"/>
          <w:lang w:bidi="ar-IQ"/>
        </w:rPr>
      </w:pPr>
      <w:r w:rsidRPr="00FA3252">
        <w:rPr>
          <w:b/>
          <w:bCs/>
          <w:sz w:val="28"/>
          <w:szCs w:val="28"/>
          <w:lang w:bidi="ar-IQ"/>
        </w:rPr>
        <w:t xml:space="preserve">Shikimic acid derived natural products </w:t>
      </w:r>
    </w:p>
    <w:p w:rsidR="0062131B" w:rsidRDefault="00FA3252" w:rsidP="00EE6DF6">
      <w:pPr>
        <w:bidi w:val="0"/>
        <w:spacing w:line="360" w:lineRule="auto"/>
        <w:rPr>
          <w:lang w:bidi="ar-IQ"/>
        </w:rPr>
      </w:pPr>
      <w:r>
        <w:rPr>
          <w:lang w:bidi="ar-IQ"/>
        </w:rPr>
        <w:t>Shikimic acid is the precursor for many natural products and aromatic amino acid</w:t>
      </w:r>
      <w:r w:rsidR="00EE6DF6">
        <w:rPr>
          <w:lang w:bidi="ar-IQ"/>
        </w:rPr>
        <w:t xml:space="preserve"> (Figure </w:t>
      </w:r>
      <w:r w:rsidR="001B2304">
        <w:rPr>
          <w:b/>
          <w:bCs/>
          <w:lang w:bidi="ar-IQ"/>
        </w:rPr>
        <w:t>4</w:t>
      </w:r>
      <w:r w:rsidR="00EE6DF6">
        <w:rPr>
          <w:lang w:bidi="ar-IQ"/>
        </w:rPr>
        <w:t>)</w:t>
      </w:r>
    </w:p>
    <w:p w:rsidR="00FF0344" w:rsidRDefault="001B2304" w:rsidP="00313733">
      <w:pPr>
        <w:bidi w:val="0"/>
        <w:rPr>
          <w:lang w:bidi="ar-IQ"/>
        </w:rPr>
      </w:pPr>
      <w:r>
        <w:object w:dxaOrig="8406" w:dyaOrig="7641">
          <v:shape id="_x0000_i1028" type="#_x0000_t75" style="width:415.5pt;height:377.25pt" o:ole="">
            <v:imagedata r:id="rId12" o:title=""/>
          </v:shape>
          <o:OLEObject Type="Embed" ProgID="ChemDraw.Document.6.0" ShapeID="_x0000_i1028" DrawAspect="Content" ObjectID="_1643556221" r:id="rId13"/>
        </w:object>
      </w:r>
    </w:p>
    <w:p w:rsidR="00FF0344" w:rsidRDefault="00FF0344" w:rsidP="00FF0344">
      <w:pPr>
        <w:bidi w:val="0"/>
        <w:spacing w:line="360" w:lineRule="auto"/>
        <w:rPr>
          <w:lang w:bidi="ar-IQ"/>
        </w:rPr>
      </w:pPr>
      <w:r>
        <w:rPr>
          <w:lang w:bidi="ar-IQ"/>
        </w:rPr>
        <w:lastRenderedPageBreak/>
        <w:t>A number of natural product groups can be constructed from the amino acid phenylalanine, in particular phenylpropenes, lignans, coumarins and flav</w:t>
      </w:r>
      <w:r w:rsidR="002C30C9">
        <w:rPr>
          <w:lang w:bidi="ar-IQ"/>
        </w:rPr>
        <w:t>o</w:t>
      </w:r>
      <w:r>
        <w:rPr>
          <w:lang w:bidi="ar-IQ"/>
        </w:rPr>
        <w:t>noids</w:t>
      </w:r>
      <w:r w:rsidR="00A425BD">
        <w:rPr>
          <w:lang w:bidi="ar-IQ"/>
        </w:rPr>
        <w:t xml:space="preserve"> (Figure</w:t>
      </w:r>
      <w:r w:rsidR="001B2304">
        <w:rPr>
          <w:lang w:bidi="ar-IQ"/>
        </w:rPr>
        <w:t xml:space="preserve"> 5)</w:t>
      </w:r>
    </w:p>
    <w:p w:rsidR="002C30C9" w:rsidRDefault="002C30C9" w:rsidP="003B1B86">
      <w:pPr>
        <w:bidi w:val="0"/>
        <w:spacing w:line="360" w:lineRule="auto"/>
        <w:rPr>
          <w:lang w:bidi="ar-IQ"/>
        </w:rPr>
      </w:pPr>
    </w:p>
    <w:p w:rsidR="003B1B86" w:rsidRDefault="00720CBA" w:rsidP="002C30C9">
      <w:pPr>
        <w:bidi w:val="0"/>
        <w:spacing w:line="360" w:lineRule="auto"/>
      </w:pPr>
      <w:r>
        <w:rPr>
          <w:noProof/>
        </w:rPr>
        <w:drawing>
          <wp:inline distT="0" distB="0" distL="0" distR="0">
            <wp:extent cx="5274310" cy="419144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274310" cy="4191443"/>
                    </a:xfrm>
                    <a:prstGeom prst="rect">
                      <a:avLst/>
                    </a:prstGeom>
                    <a:noFill/>
                    <a:ln w="9525">
                      <a:noFill/>
                      <a:miter lim="800000"/>
                      <a:headEnd/>
                      <a:tailEnd/>
                    </a:ln>
                  </pic:spPr>
                </pic:pic>
              </a:graphicData>
            </a:graphic>
          </wp:inline>
        </w:drawing>
      </w:r>
    </w:p>
    <w:p w:rsidR="00A425BD" w:rsidRDefault="00A425BD" w:rsidP="00A425BD">
      <w:pPr>
        <w:bidi w:val="0"/>
        <w:spacing w:line="360" w:lineRule="auto"/>
      </w:pPr>
    </w:p>
    <w:p w:rsidR="00472C08" w:rsidRPr="00472C08" w:rsidRDefault="00472C08" w:rsidP="00472C08">
      <w:pPr>
        <w:bidi w:val="0"/>
        <w:spacing w:line="360" w:lineRule="auto"/>
        <w:rPr>
          <w:b/>
          <w:bCs/>
          <w:sz w:val="28"/>
          <w:szCs w:val="28"/>
        </w:rPr>
      </w:pPr>
      <w:r w:rsidRPr="00472C08">
        <w:rPr>
          <w:b/>
          <w:bCs/>
          <w:sz w:val="28"/>
          <w:szCs w:val="28"/>
        </w:rPr>
        <w:t>Text book</w:t>
      </w:r>
    </w:p>
    <w:p w:rsidR="00472C08" w:rsidRPr="00472C08" w:rsidRDefault="00472C08" w:rsidP="00472C08">
      <w:pPr>
        <w:bidi w:val="0"/>
        <w:spacing w:line="360" w:lineRule="auto"/>
        <w:rPr>
          <w:b/>
          <w:bCs/>
          <w:sz w:val="28"/>
          <w:szCs w:val="28"/>
        </w:rPr>
      </w:pPr>
      <w:r w:rsidRPr="00472C08">
        <w:rPr>
          <w:b/>
          <w:bCs/>
          <w:sz w:val="28"/>
          <w:szCs w:val="28"/>
        </w:rPr>
        <w:t>Fundementals of Pharmacognosy and phytotherapy</w:t>
      </w:r>
    </w:p>
    <w:p w:rsidR="00472C08" w:rsidRPr="00472C08" w:rsidRDefault="009B499E" w:rsidP="00472C08">
      <w:pPr>
        <w:bidi w:val="0"/>
        <w:spacing w:line="360" w:lineRule="auto"/>
        <w:rPr>
          <w:b/>
          <w:bCs/>
          <w:sz w:val="28"/>
          <w:szCs w:val="28"/>
        </w:rPr>
      </w:pPr>
      <w:r>
        <w:rPr>
          <w:b/>
          <w:bCs/>
          <w:sz w:val="28"/>
          <w:szCs w:val="28"/>
        </w:rPr>
        <w:t>Michael He</w:t>
      </w:r>
      <w:r w:rsidR="00472C08" w:rsidRPr="00472C08">
        <w:rPr>
          <w:b/>
          <w:bCs/>
          <w:sz w:val="28"/>
          <w:szCs w:val="28"/>
        </w:rPr>
        <w:t>inrich</w:t>
      </w:r>
    </w:p>
    <w:p w:rsidR="00472C08" w:rsidRPr="00472C08" w:rsidRDefault="00472C08" w:rsidP="00472C08">
      <w:pPr>
        <w:bidi w:val="0"/>
        <w:spacing w:line="360" w:lineRule="auto"/>
        <w:rPr>
          <w:b/>
          <w:bCs/>
          <w:sz w:val="28"/>
          <w:szCs w:val="28"/>
        </w:rPr>
      </w:pPr>
      <w:r w:rsidRPr="00472C08">
        <w:rPr>
          <w:b/>
          <w:bCs/>
          <w:sz w:val="28"/>
          <w:szCs w:val="28"/>
        </w:rPr>
        <w:t>Joanne Barnes</w:t>
      </w:r>
    </w:p>
    <w:p w:rsidR="00472C08" w:rsidRPr="00472C08" w:rsidRDefault="00472C08" w:rsidP="00472C08">
      <w:pPr>
        <w:bidi w:val="0"/>
        <w:spacing w:line="360" w:lineRule="auto"/>
        <w:rPr>
          <w:b/>
          <w:bCs/>
          <w:sz w:val="28"/>
          <w:szCs w:val="28"/>
        </w:rPr>
      </w:pPr>
      <w:r w:rsidRPr="00472C08">
        <w:rPr>
          <w:b/>
          <w:bCs/>
          <w:sz w:val="28"/>
          <w:szCs w:val="28"/>
        </w:rPr>
        <w:t>Simon Gibbons</w:t>
      </w:r>
    </w:p>
    <w:p w:rsidR="00472C08" w:rsidRPr="00472C08" w:rsidRDefault="00472C08" w:rsidP="00472C08">
      <w:pPr>
        <w:bidi w:val="0"/>
        <w:spacing w:line="360" w:lineRule="auto"/>
        <w:rPr>
          <w:b/>
          <w:bCs/>
          <w:sz w:val="28"/>
          <w:szCs w:val="28"/>
          <w:lang w:bidi="ar-IQ"/>
        </w:rPr>
      </w:pPr>
      <w:r w:rsidRPr="00472C08">
        <w:rPr>
          <w:b/>
          <w:bCs/>
          <w:sz w:val="28"/>
          <w:szCs w:val="28"/>
        </w:rPr>
        <w:t>Elizabeth M. Williamson</w:t>
      </w:r>
    </w:p>
    <w:sectPr w:rsidR="00472C08" w:rsidRPr="00472C08" w:rsidSect="00825053">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B1A" w:rsidRDefault="00F81B1A" w:rsidP="005A39E9">
      <w:r>
        <w:separator/>
      </w:r>
    </w:p>
  </w:endnote>
  <w:endnote w:type="continuationSeparator" w:id="1">
    <w:p w:rsidR="00F81B1A" w:rsidRDefault="00F81B1A" w:rsidP="005A3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35454"/>
      <w:docPartObj>
        <w:docPartGallery w:val="Page Numbers (Bottom of Page)"/>
        <w:docPartUnique/>
      </w:docPartObj>
    </w:sdtPr>
    <w:sdtContent>
      <w:p w:rsidR="005A39E9" w:rsidRDefault="00E03914">
        <w:pPr>
          <w:pStyle w:val="Footer"/>
        </w:pPr>
        <w:fldSimple w:instr=" PAGE   \* MERGEFORMAT ">
          <w:r w:rsidR="00BC632C">
            <w:rPr>
              <w:noProof/>
              <w:rtl/>
            </w:rPr>
            <w:t>1</w:t>
          </w:r>
        </w:fldSimple>
      </w:p>
    </w:sdtContent>
  </w:sdt>
  <w:p w:rsidR="005A39E9" w:rsidRDefault="005A3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B1A" w:rsidRDefault="00F81B1A" w:rsidP="005A39E9">
      <w:r>
        <w:separator/>
      </w:r>
    </w:p>
  </w:footnote>
  <w:footnote w:type="continuationSeparator" w:id="1">
    <w:p w:rsidR="00F81B1A" w:rsidRDefault="00F81B1A" w:rsidP="005A39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80DC2"/>
    <w:rsid w:val="000C5CB3"/>
    <w:rsid w:val="000D6671"/>
    <w:rsid w:val="00127A56"/>
    <w:rsid w:val="00155B3F"/>
    <w:rsid w:val="00155F53"/>
    <w:rsid w:val="00163FDB"/>
    <w:rsid w:val="00170FAC"/>
    <w:rsid w:val="001A0F3B"/>
    <w:rsid w:val="001B2304"/>
    <w:rsid w:val="001E3E5E"/>
    <w:rsid w:val="001E6805"/>
    <w:rsid w:val="00280AE5"/>
    <w:rsid w:val="002C30C9"/>
    <w:rsid w:val="002D5781"/>
    <w:rsid w:val="002E27F3"/>
    <w:rsid w:val="002F26FA"/>
    <w:rsid w:val="00301750"/>
    <w:rsid w:val="00313733"/>
    <w:rsid w:val="00342945"/>
    <w:rsid w:val="00346B20"/>
    <w:rsid w:val="00376848"/>
    <w:rsid w:val="003B1B86"/>
    <w:rsid w:val="004114B3"/>
    <w:rsid w:val="00415817"/>
    <w:rsid w:val="00426B85"/>
    <w:rsid w:val="00427AD5"/>
    <w:rsid w:val="00470EAA"/>
    <w:rsid w:val="00472C08"/>
    <w:rsid w:val="00560745"/>
    <w:rsid w:val="005626A3"/>
    <w:rsid w:val="00594544"/>
    <w:rsid w:val="005A39E9"/>
    <w:rsid w:val="005B6FBD"/>
    <w:rsid w:val="005F7CC2"/>
    <w:rsid w:val="0062131B"/>
    <w:rsid w:val="006A2A95"/>
    <w:rsid w:val="00720CBA"/>
    <w:rsid w:val="0077782D"/>
    <w:rsid w:val="007E4EFA"/>
    <w:rsid w:val="008006D2"/>
    <w:rsid w:val="00805C60"/>
    <w:rsid w:val="00825053"/>
    <w:rsid w:val="0082661A"/>
    <w:rsid w:val="00870A10"/>
    <w:rsid w:val="00892EF1"/>
    <w:rsid w:val="008C4E64"/>
    <w:rsid w:val="00971319"/>
    <w:rsid w:val="00984DF6"/>
    <w:rsid w:val="00993B02"/>
    <w:rsid w:val="009B2C57"/>
    <w:rsid w:val="009B499E"/>
    <w:rsid w:val="00A03802"/>
    <w:rsid w:val="00A425BD"/>
    <w:rsid w:val="00A942AA"/>
    <w:rsid w:val="00A96AA4"/>
    <w:rsid w:val="00AA77A3"/>
    <w:rsid w:val="00B90CC5"/>
    <w:rsid w:val="00BC039E"/>
    <w:rsid w:val="00BC632C"/>
    <w:rsid w:val="00C1013D"/>
    <w:rsid w:val="00C13067"/>
    <w:rsid w:val="00C24750"/>
    <w:rsid w:val="00C47BBB"/>
    <w:rsid w:val="00D13EC0"/>
    <w:rsid w:val="00D34C5A"/>
    <w:rsid w:val="00D55605"/>
    <w:rsid w:val="00D574AF"/>
    <w:rsid w:val="00E03914"/>
    <w:rsid w:val="00E265B9"/>
    <w:rsid w:val="00E43E91"/>
    <w:rsid w:val="00E5148C"/>
    <w:rsid w:val="00E63CFD"/>
    <w:rsid w:val="00EE6DF6"/>
    <w:rsid w:val="00F21A43"/>
    <w:rsid w:val="00F319A8"/>
    <w:rsid w:val="00F80DC2"/>
    <w:rsid w:val="00F81B1A"/>
    <w:rsid w:val="00FA3252"/>
    <w:rsid w:val="00FF03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DB"/>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39E9"/>
    <w:pPr>
      <w:tabs>
        <w:tab w:val="center" w:pos="4153"/>
        <w:tab w:val="right" w:pos="8306"/>
      </w:tabs>
    </w:pPr>
  </w:style>
  <w:style w:type="character" w:customStyle="1" w:styleId="HeaderChar">
    <w:name w:val="Header Char"/>
    <w:basedOn w:val="DefaultParagraphFont"/>
    <w:link w:val="Header"/>
    <w:uiPriority w:val="99"/>
    <w:semiHidden/>
    <w:rsid w:val="005A39E9"/>
    <w:rPr>
      <w:sz w:val="24"/>
      <w:szCs w:val="24"/>
    </w:rPr>
  </w:style>
  <w:style w:type="paragraph" w:styleId="Footer">
    <w:name w:val="footer"/>
    <w:basedOn w:val="Normal"/>
    <w:link w:val="FooterChar"/>
    <w:uiPriority w:val="99"/>
    <w:unhideWhenUsed/>
    <w:rsid w:val="005A39E9"/>
    <w:pPr>
      <w:tabs>
        <w:tab w:val="center" w:pos="4153"/>
        <w:tab w:val="right" w:pos="8306"/>
      </w:tabs>
    </w:pPr>
  </w:style>
  <w:style w:type="character" w:customStyle="1" w:styleId="FooterChar">
    <w:name w:val="Footer Char"/>
    <w:basedOn w:val="DefaultParagraphFont"/>
    <w:link w:val="Footer"/>
    <w:uiPriority w:val="99"/>
    <w:rsid w:val="005A39E9"/>
    <w:rPr>
      <w:sz w:val="24"/>
      <w:szCs w:val="24"/>
    </w:rPr>
  </w:style>
  <w:style w:type="paragraph" w:styleId="BalloonText">
    <w:name w:val="Balloon Text"/>
    <w:basedOn w:val="Normal"/>
    <w:link w:val="BalloonTextChar"/>
    <w:uiPriority w:val="99"/>
    <w:semiHidden/>
    <w:unhideWhenUsed/>
    <w:rsid w:val="00720CBA"/>
    <w:rPr>
      <w:rFonts w:ascii="Tahoma" w:hAnsi="Tahoma" w:cs="Tahoma"/>
      <w:sz w:val="16"/>
      <w:szCs w:val="16"/>
    </w:rPr>
  </w:style>
  <w:style w:type="character" w:customStyle="1" w:styleId="BalloonTextChar">
    <w:name w:val="Balloon Text Char"/>
    <w:basedOn w:val="DefaultParagraphFont"/>
    <w:link w:val="BalloonText"/>
    <w:uiPriority w:val="99"/>
    <w:semiHidden/>
    <w:rsid w:val="00720C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5237</TotalTime>
  <Pages>4</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عمارة الجادرجي ط ارضي</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ذهب للحاسبات</dc:creator>
  <cp:lastModifiedBy>First Procrssor</cp:lastModifiedBy>
  <cp:revision>6</cp:revision>
  <dcterms:created xsi:type="dcterms:W3CDTF">2014-10-14T09:08:00Z</dcterms:created>
  <dcterms:modified xsi:type="dcterms:W3CDTF">2020-02-18T15:37:00Z</dcterms:modified>
</cp:coreProperties>
</file>