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D9" w:rsidRDefault="003364C0" w:rsidP="009679C4">
      <w:pPr>
        <w:jc w:val="both"/>
        <w:rPr>
          <w:rFonts w:asciiTheme="majorBidi" w:hAnsiTheme="majorBidi" w:cstheme="majorBidi"/>
          <w:sz w:val="24"/>
          <w:szCs w:val="24"/>
          <w:lang w:val="en-US"/>
        </w:rPr>
      </w:pPr>
      <w:r w:rsidRPr="008A535A">
        <w:rPr>
          <w:rFonts w:asciiTheme="majorBidi" w:hAnsiTheme="majorBidi" w:cstheme="majorBidi"/>
          <w:b/>
          <w:bCs/>
          <w:sz w:val="24"/>
          <w:szCs w:val="24"/>
          <w:lang w:val="en-US"/>
        </w:rPr>
        <w:t>Case:</w:t>
      </w:r>
      <w:r w:rsidRPr="008A535A">
        <w:rPr>
          <w:rFonts w:asciiTheme="majorBidi" w:hAnsiTheme="majorBidi" w:cstheme="majorBidi"/>
          <w:sz w:val="24"/>
          <w:szCs w:val="24"/>
        </w:rPr>
        <w:t xml:space="preserve"> </w:t>
      </w:r>
      <w:r w:rsidRPr="008A535A">
        <w:rPr>
          <w:rFonts w:asciiTheme="majorBidi" w:hAnsiTheme="majorBidi" w:cstheme="majorBidi"/>
          <w:sz w:val="24"/>
          <w:szCs w:val="24"/>
          <w:lang w:val="en-US"/>
        </w:rPr>
        <w:t>A 44-year-old woman presented to the emergency department with a 1-day history of constant abdominal pain and vomiting. The pain came on suddenly, shortly after eating her evening meal. This was followed by intermittent bouts of bilious vomiting. She has diabetes and is concerned about her blood sugars as she has not been able to eat a normal diet since the</w:t>
      </w:r>
      <w:r w:rsidR="008A535A" w:rsidRPr="008A535A">
        <w:rPr>
          <w:rFonts w:asciiTheme="majorBidi" w:hAnsiTheme="majorBidi" w:cstheme="majorBidi"/>
          <w:sz w:val="24"/>
          <w:szCs w:val="24"/>
          <w:lang w:val="en-US"/>
        </w:rPr>
        <w:t xml:space="preserve"> </w:t>
      </w:r>
      <w:r w:rsidRPr="008A535A">
        <w:rPr>
          <w:rFonts w:asciiTheme="majorBidi" w:hAnsiTheme="majorBidi" w:cstheme="majorBidi"/>
          <w:sz w:val="24"/>
          <w:szCs w:val="24"/>
          <w:lang w:val="en-US"/>
        </w:rPr>
        <w:t>pain started. Her bowels have opened normally and she has no urinary symptoms.</w:t>
      </w:r>
      <w:r w:rsidR="009679C4" w:rsidRPr="008A535A">
        <w:rPr>
          <w:rFonts w:asciiTheme="majorBidi" w:hAnsiTheme="majorBidi" w:cstheme="majorBidi"/>
          <w:b/>
          <w:bCs/>
          <w:sz w:val="24"/>
          <w:szCs w:val="24"/>
          <w:lang w:val="en-US"/>
        </w:rPr>
        <w:t xml:space="preserve"> </w:t>
      </w:r>
      <w:r w:rsidRPr="008A535A">
        <w:rPr>
          <w:rFonts w:asciiTheme="majorBidi" w:hAnsiTheme="majorBidi" w:cstheme="majorBidi"/>
          <w:sz w:val="24"/>
          <w:szCs w:val="24"/>
          <w:lang w:val="en-US"/>
        </w:rPr>
        <w:t>The patient is febrile with a temperature of 38°C and a pulse rate of 116/min. She is not clinically</w:t>
      </w:r>
      <w:r w:rsidR="008A535A">
        <w:rPr>
          <w:rFonts w:asciiTheme="majorBidi" w:hAnsiTheme="majorBidi" w:cstheme="majorBidi"/>
          <w:sz w:val="24"/>
          <w:szCs w:val="24"/>
          <w:lang w:val="en-US"/>
        </w:rPr>
        <w:t xml:space="preserve"> </w:t>
      </w:r>
      <w:r w:rsidRPr="008A535A">
        <w:rPr>
          <w:rFonts w:asciiTheme="majorBidi" w:hAnsiTheme="majorBidi" w:cstheme="majorBidi"/>
          <w:sz w:val="24"/>
          <w:szCs w:val="24"/>
          <w:lang w:val="en-US"/>
        </w:rPr>
        <w:t>jaundiced. On examination of the abdomen, she is found to have tenderness in the right</w:t>
      </w:r>
      <w:r w:rsidR="008A535A">
        <w:rPr>
          <w:rFonts w:asciiTheme="majorBidi" w:hAnsiTheme="majorBidi" w:cstheme="majorBidi"/>
          <w:sz w:val="24"/>
          <w:szCs w:val="24"/>
          <w:lang w:val="en-US"/>
        </w:rPr>
        <w:t xml:space="preserve"> </w:t>
      </w:r>
      <w:r w:rsidRPr="008A535A">
        <w:rPr>
          <w:rFonts w:asciiTheme="majorBidi" w:hAnsiTheme="majorBidi" w:cstheme="majorBidi"/>
          <w:sz w:val="24"/>
          <w:szCs w:val="24"/>
          <w:lang w:val="en-US"/>
        </w:rPr>
        <w:t>upper quadrant, which is worsened by placing two fingers beneath the tip of the ninth costal</w:t>
      </w:r>
      <w:r w:rsidR="008A535A">
        <w:rPr>
          <w:rFonts w:asciiTheme="majorBidi" w:hAnsiTheme="majorBidi" w:cstheme="majorBidi"/>
          <w:sz w:val="24"/>
          <w:szCs w:val="24"/>
          <w:lang w:val="en-US"/>
        </w:rPr>
        <w:t xml:space="preserve"> </w:t>
      </w:r>
      <w:r w:rsidRPr="008A535A">
        <w:rPr>
          <w:rFonts w:asciiTheme="majorBidi" w:hAnsiTheme="majorBidi" w:cstheme="majorBidi"/>
          <w:sz w:val="24"/>
          <w:szCs w:val="24"/>
          <w:lang w:val="en-US"/>
        </w:rPr>
        <w:t>cartilage during inspiration. A tender mass is palpable in the right upper quadrant. The urine</w:t>
      </w:r>
      <w:r w:rsidR="008A535A">
        <w:rPr>
          <w:rFonts w:asciiTheme="majorBidi" w:hAnsiTheme="majorBidi" w:cstheme="majorBidi"/>
          <w:sz w:val="24"/>
          <w:szCs w:val="24"/>
          <w:lang w:val="en-US"/>
        </w:rPr>
        <w:t xml:space="preserve"> </w:t>
      </w:r>
      <w:r w:rsidRPr="008A535A">
        <w:rPr>
          <w:rFonts w:asciiTheme="majorBidi" w:hAnsiTheme="majorBidi" w:cstheme="majorBidi"/>
          <w:sz w:val="24"/>
          <w:szCs w:val="24"/>
          <w:lang w:val="en-US"/>
        </w:rPr>
        <w:t>is clear and rectal examination is normal.</w:t>
      </w:r>
    </w:p>
    <w:tbl>
      <w:tblPr>
        <w:tblStyle w:val="TableGrid"/>
        <w:tblW w:w="0" w:type="auto"/>
        <w:tblLook w:val="04A0" w:firstRow="1" w:lastRow="0" w:firstColumn="1" w:lastColumn="0" w:noHBand="0" w:noVBand="1"/>
      </w:tblPr>
      <w:tblGrid>
        <w:gridCol w:w="4786"/>
        <w:gridCol w:w="3736"/>
      </w:tblGrid>
      <w:tr w:rsidR="00876209" w:rsidTr="00A64849">
        <w:trPr>
          <w:trHeight w:val="330"/>
        </w:trPr>
        <w:tc>
          <w:tcPr>
            <w:tcW w:w="8522" w:type="dxa"/>
            <w:gridSpan w:val="2"/>
          </w:tcPr>
          <w:p w:rsidR="00876209" w:rsidRPr="00F25B31" w:rsidRDefault="00876209" w:rsidP="00F25B31">
            <w:pPr>
              <w:jc w:val="center"/>
              <w:rPr>
                <w:rFonts w:asciiTheme="majorBidi" w:hAnsiTheme="majorBidi" w:cstheme="majorBidi"/>
                <w:b/>
                <w:bCs/>
                <w:sz w:val="24"/>
                <w:szCs w:val="24"/>
                <w:lang w:val="en-US"/>
              </w:rPr>
            </w:pPr>
            <w:r w:rsidRPr="00F25B31">
              <w:rPr>
                <w:rFonts w:asciiTheme="majorBidi" w:hAnsiTheme="majorBidi" w:cstheme="majorBidi"/>
                <w:b/>
                <w:bCs/>
                <w:sz w:val="24"/>
                <w:szCs w:val="24"/>
                <w:lang w:val="en-US"/>
              </w:rPr>
              <w:t>INVESTIGATIONS</w:t>
            </w:r>
          </w:p>
        </w:tc>
      </w:tr>
      <w:tr w:rsidR="00590D56" w:rsidTr="00F25B31">
        <w:trPr>
          <w:trHeight w:val="306"/>
        </w:trPr>
        <w:tc>
          <w:tcPr>
            <w:tcW w:w="4786" w:type="dxa"/>
          </w:tcPr>
          <w:p w:rsidR="00590D56" w:rsidRPr="00F25B31" w:rsidRDefault="00590D56" w:rsidP="00F25B31">
            <w:pPr>
              <w:jc w:val="center"/>
              <w:rPr>
                <w:rFonts w:asciiTheme="majorBidi" w:hAnsiTheme="majorBidi" w:cstheme="majorBidi"/>
                <w:b/>
                <w:bCs/>
                <w:sz w:val="24"/>
                <w:szCs w:val="24"/>
                <w:lang w:val="en-US"/>
              </w:rPr>
            </w:pPr>
            <w:r w:rsidRPr="00F25B31">
              <w:rPr>
                <w:rFonts w:asciiTheme="majorBidi" w:hAnsiTheme="majorBidi" w:cstheme="majorBidi"/>
                <w:b/>
                <w:bCs/>
                <w:sz w:val="24"/>
                <w:szCs w:val="24"/>
                <w:lang w:val="en-US"/>
              </w:rPr>
              <w:t>Results</w:t>
            </w:r>
          </w:p>
        </w:tc>
        <w:tc>
          <w:tcPr>
            <w:tcW w:w="3736" w:type="dxa"/>
          </w:tcPr>
          <w:p w:rsidR="00590D56" w:rsidRPr="00F25B31" w:rsidRDefault="00590D56" w:rsidP="00F25B31">
            <w:pPr>
              <w:ind w:left="1197"/>
              <w:jc w:val="center"/>
              <w:rPr>
                <w:rFonts w:asciiTheme="majorBidi" w:hAnsiTheme="majorBidi" w:cstheme="majorBidi"/>
                <w:b/>
                <w:bCs/>
                <w:sz w:val="24"/>
                <w:szCs w:val="24"/>
                <w:lang w:val="en-US"/>
              </w:rPr>
            </w:pPr>
            <w:r w:rsidRPr="00F25B31">
              <w:rPr>
                <w:rFonts w:asciiTheme="majorBidi" w:hAnsiTheme="majorBidi" w:cstheme="majorBidi"/>
                <w:b/>
                <w:bCs/>
                <w:sz w:val="24"/>
                <w:szCs w:val="24"/>
                <w:lang w:val="en-US"/>
              </w:rPr>
              <w:t>Normal</w:t>
            </w:r>
          </w:p>
        </w:tc>
      </w:tr>
      <w:tr w:rsidR="00590D56" w:rsidTr="00F25B31">
        <w:trPr>
          <w:trHeight w:val="4095"/>
        </w:trPr>
        <w:tc>
          <w:tcPr>
            <w:tcW w:w="4786" w:type="dxa"/>
          </w:tcPr>
          <w:p w:rsidR="00590D56" w:rsidRDefault="00590D56" w:rsidP="005E4B75">
            <w:pPr>
              <w:rPr>
                <w:rFonts w:asciiTheme="majorBidi" w:hAnsiTheme="majorBidi" w:cstheme="majorBidi"/>
                <w:sz w:val="24"/>
                <w:szCs w:val="24"/>
                <w:lang w:val="en-US"/>
              </w:rPr>
            </w:pPr>
            <w:proofErr w:type="spellStart"/>
            <w:r w:rsidRPr="005E4B75">
              <w:rPr>
                <w:rFonts w:asciiTheme="majorBidi" w:hAnsiTheme="majorBidi" w:cstheme="majorBidi"/>
                <w:sz w:val="24"/>
                <w:szCs w:val="24"/>
                <w:lang w:val="en-US"/>
              </w:rPr>
              <w:t>Haemoglobin</w:t>
            </w:r>
            <w:proofErr w:type="spellEnd"/>
            <w:r w:rsidRPr="005E4B75">
              <w:rPr>
                <w:rFonts w:asciiTheme="majorBidi" w:hAnsiTheme="majorBidi" w:cstheme="majorBidi"/>
                <w:sz w:val="24"/>
                <w:szCs w:val="24"/>
                <w:lang w:val="en-US"/>
              </w:rPr>
              <w:t xml:space="preserve"> (</w:t>
            </w:r>
            <w:proofErr w:type="spellStart"/>
            <w:r w:rsidRPr="005E4B75">
              <w:rPr>
                <w:rFonts w:asciiTheme="majorBidi" w:hAnsiTheme="majorBidi" w:cstheme="majorBidi"/>
                <w:sz w:val="24"/>
                <w:szCs w:val="24"/>
                <w:lang w:val="en-US"/>
              </w:rPr>
              <w:t>Hb</w:t>
            </w:r>
            <w:proofErr w:type="spellEnd"/>
            <w:r w:rsidRPr="005E4B75">
              <w:rPr>
                <w:rFonts w:asciiTheme="majorBidi" w:hAnsiTheme="majorBidi" w:cstheme="majorBidi"/>
                <w:sz w:val="24"/>
                <w:szCs w:val="24"/>
                <w:lang w:val="en-US"/>
              </w:rPr>
              <w:t>) 11.7 g/</w:t>
            </w:r>
            <w:proofErr w:type="spellStart"/>
            <w:r w:rsidRPr="005E4B75">
              <w:rPr>
                <w:rFonts w:asciiTheme="majorBidi" w:hAnsiTheme="majorBidi" w:cstheme="majorBidi"/>
                <w:sz w:val="24"/>
                <w:szCs w:val="24"/>
                <w:lang w:val="en-US"/>
              </w:rPr>
              <w:t>dL</w:t>
            </w:r>
            <w:proofErr w:type="spellEnd"/>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 xml:space="preserve">Mean cell volume 81 </w:t>
            </w:r>
            <w:proofErr w:type="spellStart"/>
            <w:r w:rsidRPr="005E4B75">
              <w:rPr>
                <w:rFonts w:asciiTheme="majorBidi" w:hAnsiTheme="majorBidi" w:cstheme="majorBidi"/>
                <w:sz w:val="24"/>
                <w:szCs w:val="24"/>
                <w:lang w:val="en-US"/>
              </w:rPr>
              <w:t>fL</w:t>
            </w:r>
            <w:proofErr w:type="spellEnd"/>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White cell count 18 × 109/L</w:t>
            </w:r>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Platelets 312 × 109/L</w:t>
            </w:r>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 xml:space="preserve">Sodium 135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 xml:space="preserve">Potassium 4.4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 xml:space="preserve">Urea 4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 xml:space="preserve">Creatinine 69 </w:t>
            </w:r>
            <w:proofErr w:type="spellStart"/>
            <w:r w:rsidRPr="005E4B75">
              <w:rPr>
                <w:rFonts w:asciiTheme="majorBidi" w:hAnsiTheme="majorBidi" w:cstheme="majorBidi"/>
                <w:sz w:val="24"/>
                <w:szCs w:val="24"/>
                <w:lang w:val="en-US"/>
              </w:rPr>
              <w:t>μmol</w:t>
            </w:r>
            <w:proofErr w:type="spellEnd"/>
            <w:r w:rsidRPr="005E4B75">
              <w:rPr>
                <w:rFonts w:asciiTheme="majorBidi" w:hAnsiTheme="majorBidi" w:cstheme="majorBidi"/>
                <w:sz w:val="24"/>
                <w:szCs w:val="24"/>
                <w:lang w:val="en-US"/>
              </w:rPr>
              <w:t>/L</w:t>
            </w:r>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Amylase 69 IU/</w:t>
            </w:r>
            <w:proofErr w:type="spellStart"/>
            <w:r w:rsidRPr="005E4B75">
              <w:rPr>
                <w:rFonts w:asciiTheme="majorBidi" w:hAnsiTheme="majorBidi" w:cstheme="majorBidi"/>
                <w:sz w:val="24"/>
                <w:szCs w:val="24"/>
                <w:lang w:val="en-US"/>
              </w:rPr>
              <w:t>dL</w:t>
            </w:r>
            <w:proofErr w:type="spellEnd"/>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Aspartate transaminase (AST) 67 IU/</w:t>
            </w:r>
            <w:proofErr w:type="spellStart"/>
            <w:r w:rsidRPr="005E4B75">
              <w:rPr>
                <w:rFonts w:asciiTheme="majorBidi" w:hAnsiTheme="majorBidi" w:cstheme="majorBidi"/>
                <w:sz w:val="24"/>
                <w:szCs w:val="24"/>
                <w:lang w:val="en-US"/>
              </w:rPr>
              <w:t>dL</w:t>
            </w:r>
            <w:proofErr w:type="spellEnd"/>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Alkaline phosphatase (ALP) 76 IU/</w:t>
            </w:r>
            <w:proofErr w:type="spellStart"/>
            <w:r w:rsidRPr="005E4B75">
              <w:rPr>
                <w:rFonts w:asciiTheme="majorBidi" w:hAnsiTheme="majorBidi" w:cstheme="majorBidi"/>
                <w:sz w:val="24"/>
                <w:szCs w:val="24"/>
                <w:lang w:val="en-US"/>
              </w:rPr>
              <w:t>dL</w:t>
            </w:r>
            <w:proofErr w:type="spellEnd"/>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Gamma-</w:t>
            </w:r>
            <w:proofErr w:type="spellStart"/>
            <w:r w:rsidRPr="005E4B75">
              <w:rPr>
                <w:rFonts w:asciiTheme="majorBidi" w:hAnsiTheme="majorBidi" w:cstheme="majorBidi"/>
                <w:sz w:val="24"/>
                <w:szCs w:val="24"/>
                <w:lang w:val="en-US"/>
              </w:rPr>
              <w:t>glutamyl</w:t>
            </w:r>
            <w:proofErr w:type="spellEnd"/>
            <w:r w:rsidRPr="005E4B75">
              <w:rPr>
                <w:rFonts w:asciiTheme="majorBidi" w:hAnsiTheme="majorBidi" w:cstheme="majorBidi"/>
                <w:sz w:val="24"/>
                <w:szCs w:val="24"/>
                <w:lang w:val="en-US"/>
              </w:rPr>
              <w:t xml:space="preserve"> transferase (GGT) 50 IU/</w:t>
            </w:r>
            <w:proofErr w:type="spellStart"/>
            <w:r w:rsidRPr="005E4B75">
              <w:rPr>
                <w:rFonts w:asciiTheme="majorBidi" w:hAnsiTheme="majorBidi" w:cstheme="majorBidi"/>
                <w:sz w:val="24"/>
                <w:szCs w:val="24"/>
                <w:lang w:val="en-US"/>
              </w:rPr>
              <w:t>dL</w:t>
            </w:r>
            <w:proofErr w:type="spellEnd"/>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Albumin 42 g/L</w:t>
            </w:r>
          </w:p>
          <w:p w:rsidR="00590D56" w:rsidRDefault="00590D56" w:rsidP="005E4B75">
            <w:pPr>
              <w:rPr>
                <w:rFonts w:asciiTheme="majorBidi" w:hAnsiTheme="majorBidi" w:cstheme="majorBidi"/>
                <w:sz w:val="24"/>
                <w:szCs w:val="24"/>
                <w:lang w:val="en-US"/>
              </w:rPr>
            </w:pPr>
            <w:r w:rsidRPr="005E4B75">
              <w:rPr>
                <w:rFonts w:asciiTheme="majorBidi" w:hAnsiTheme="majorBidi" w:cstheme="majorBidi"/>
                <w:sz w:val="24"/>
                <w:szCs w:val="24"/>
                <w:lang w:val="en-US"/>
              </w:rPr>
              <w:t xml:space="preserve">Bilirubin 25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Default="00590D56" w:rsidP="005E4B75">
            <w:pPr>
              <w:jc w:val="both"/>
              <w:rPr>
                <w:rFonts w:asciiTheme="majorBidi" w:hAnsiTheme="majorBidi" w:cstheme="majorBidi"/>
                <w:sz w:val="24"/>
                <w:szCs w:val="24"/>
                <w:lang w:val="en-US"/>
              </w:rPr>
            </w:pPr>
            <w:r w:rsidRPr="005E4B75">
              <w:rPr>
                <w:rFonts w:asciiTheme="majorBidi" w:hAnsiTheme="majorBidi" w:cstheme="majorBidi"/>
                <w:sz w:val="24"/>
                <w:szCs w:val="24"/>
                <w:lang w:val="en-US"/>
              </w:rPr>
              <w:t xml:space="preserve">Blood glucose 27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tc>
        <w:tc>
          <w:tcPr>
            <w:tcW w:w="3736" w:type="dxa"/>
          </w:tcPr>
          <w:p w:rsidR="00590D56" w:rsidRPr="005E4B75" w:rsidRDefault="00590D56" w:rsidP="00590D56">
            <w:pPr>
              <w:ind w:left="1377"/>
              <w:rPr>
                <w:rFonts w:asciiTheme="majorBidi" w:hAnsiTheme="majorBidi" w:cstheme="majorBidi"/>
                <w:sz w:val="24"/>
                <w:szCs w:val="24"/>
                <w:lang w:val="en-US"/>
              </w:rPr>
            </w:pPr>
            <w:r w:rsidRPr="005E4B75">
              <w:rPr>
                <w:rFonts w:asciiTheme="majorBidi" w:hAnsiTheme="majorBidi" w:cstheme="majorBidi"/>
                <w:sz w:val="24"/>
                <w:szCs w:val="24"/>
                <w:lang w:val="en-US"/>
              </w:rPr>
              <w:t>11.5–16.0 g/</w:t>
            </w:r>
            <w:proofErr w:type="spellStart"/>
            <w:r w:rsidRPr="005E4B75">
              <w:rPr>
                <w:rFonts w:asciiTheme="majorBidi" w:hAnsiTheme="majorBidi" w:cstheme="majorBidi"/>
                <w:sz w:val="24"/>
                <w:szCs w:val="24"/>
                <w:lang w:val="en-US"/>
              </w:rPr>
              <w:t>dL</w:t>
            </w:r>
            <w:proofErr w:type="spellEnd"/>
          </w:p>
          <w:p w:rsidR="00590D56" w:rsidRPr="005E4B75" w:rsidRDefault="00590D56" w:rsidP="00590D56">
            <w:pPr>
              <w:ind w:left="1362"/>
              <w:rPr>
                <w:rFonts w:asciiTheme="majorBidi" w:hAnsiTheme="majorBidi" w:cstheme="majorBidi"/>
                <w:sz w:val="24"/>
                <w:szCs w:val="24"/>
                <w:lang w:val="en-US"/>
              </w:rPr>
            </w:pPr>
            <w:r w:rsidRPr="005E4B75">
              <w:rPr>
                <w:rFonts w:asciiTheme="majorBidi" w:hAnsiTheme="majorBidi" w:cstheme="majorBidi"/>
                <w:sz w:val="24"/>
                <w:szCs w:val="24"/>
                <w:lang w:val="en-US"/>
              </w:rPr>
              <w:t xml:space="preserve">76–96 </w:t>
            </w:r>
            <w:proofErr w:type="spellStart"/>
            <w:r w:rsidRPr="005E4B75">
              <w:rPr>
                <w:rFonts w:asciiTheme="majorBidi" w:hAnsiTheme="majorBidi" w:cstheme="majorBidi"/>
                <w:sz w:val="24"/>
                <w:szCs w:val="24"/>
                <w:lang w:val="en-US"/>
              </w:rPr>
              <w:t>fL</w:t>
            </w:r>
            <w:proofErr w:type="spellEnd"/>
          </w:p>
          <w:p w:rsidR="00590D56" w:rsidRPr="005E4B75" w:rsidRDefault="00590D56" w:rsidP="00590D56">
            <w:pPr>
              <w:ind w:left="1332"/>
              <w:rPr>
                <w:rFonts w:asciiTheme="majorBidi" w:hAnsiTheme="majorBidi" w:cstheme="majorBidi"/>
                <w:sz w:val="24"/>
                <w:szCs w:val="24"/>
                <w:lang w:val="en-US"/>
              </w:rPr>
            </w:pPr>
            <w:r w:rsidRPr="005E4B75">
              <w:rPr>
                <w:rFonts w:asciiTheme="majorBidi" w:hAnsiTheme="majorBidi" w:cstheme="majorBidi"/>
                <w:sz w:val="24"/>
                <w:szCs w:val="24"/>
                <w:lang w:val="en-US"/>
              </w:rPr>
              <w:t>4.0–11.0 × 109/L</w:t>
            </w:r>
          </w:p>
          <w:p w:rsidR="00590D56" w:rsidRPr="005E4B75" w:rsidRDefault="00590D56" w:rsidP="00590D56">
            <w:pPr>
              <w:ind w:left="1347"/>
              <w:rPr>
                <w:rFonts w:asciiTheme="majorBidi" w:hAnsiTheme="majorBidi" w:cstheme="majorBidi"/>
                <w:sz w:val="24"/>
                <w:szCs w:val="24"/>
                <w:lang w:val="en-US"/>
              </w:rPr>
            </w:pPr>
            <w:r w:rsidRPr="005E4B75">
              <w:rPr>
                <w:rFonts w:asciiTheme="majorBidi" w:hAnsiTheme="majorBidi" w:cstheme="majorBidi"/>
                <w:sz w:val="24"/>
                <w:szCs w:val="24"/>
                <w:lang w:val="en-US"/>
              </w:rPr>
              <w:t>150–400 × 109/L</w:t>
            </w:r>
          </w:p>
          <w:p w:rsidR="00590D56" w:rsidRPr="005E4B75" w:rsidRDefault="00590D56" w:rsidP="00590D56">
            <w:pPr>
              <w:ind w:left="1347"/>
              <w:rPr>
                <w:rFonts w:asciiTheme="majorBidi" w:hAnsiTheme="majorBidi" w:cstheme="majorBidi"/>
                <w:sz w:val="24"/>
                <w:szCs w:val="24"/>
                <w:lang w:val="en-US"/>
              </w:rPr>
            </w:pPr>
            <w:r w:rsidRPr="005E4B75">
              <w:rPr>
                <w:rFonts w:asciiTheme="majorBidi" w:hAnsiTheme="majorBidi" w:cstheme="majorBidi"/>
                <w:sz w:val="24"/>
                <w:szCs w:val="24"/>
                <w:lang w:val="en-US"/>
              </w:rPr>
              <w:t xml:space="preserve">135–145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Pr="005E4B75" w:rsidRDefault="00590D56" w:rsidP="00590D56">
            <w:pPr>
              <w:ind w:left="1407"/>
              <w:rPr>
                <w:rFonts w:asciiTheme="majorBidi" w:hAnsiTheme="majorBidi" w:cstheme="majorBidi"/>
                <w:sz w:val="24"/>
                <w:szCs w:val="24"/>
                <w:lang w:val="en-US"/>
              </w:rPr>
            </w:pPr>
            <w:r w:rsidRPr="005E4B75">
              <w:rPr>
                <w:rFonts w:asciiTheme="majorBidi" w:hAnsiTheme="majorBidi" w:cstheme="majorBidi"/>
                <w:sz w:val="24"/>
                <w:szCs w:val="24"/>
                <w:lang w:val="en-US"/>
              </w:rPr>
              <w:t xml:space="preserve">3.5–5.0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Pr="005E4B75" w:rsidRDefault="00590D56" w:rsidP="00590D56">
            <w:pPr>
              <w:ind w:left="1362"/>
              <w:rPr>
                <w:rFonts w:asciiTheme="majorBidi" w:hAnsiTheme="majorBidi" w:cstheme="majorBidi"/>
                <w:sz w:val="24"/>
                <w:szCs w:val="24"/>
                <w:lang w:val="en-US"/>
              </w:rPr>
            </w:pPr>
            <w:r w:rsidRPr="005E4B75">
              <w:rPr>
                <w:rFonts w:asciiTheme="majorBidi" w:hAnsiTheme="majorBidi" w:cstheme="majorBidi"/>
                <w:sz w:val="24"/>
                <w:szCs w:val="24"/>
                <w:lang w:val="en-US"/>
              </w:rPr>
              <w:t xml:space="preserve">2.5–6.7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Pr="005E4B75" w:rsidRDefault="00590D56" w:rsidP="00590D56">
            <w:pPr>
              <w:ind w:left="1362"/>
              <w:rPr>
                <w:rFonts w:asciiTheme="majorBidi" w:hAnsiTheme="majorBidi" w:cstheme="majorBidi"/>
                <w:sz w:val="24"/>
                <w:szCs w:val="24"/>
                <w:lang w:val="en-US"/>
              </w:rPr>
            </w:pPr>
            <w:r w:rsidRPr="005E4B75">
              <w:rPr>
                <w:rFonts w:asciiTheme="majorBidi" w:hAnsiTheme="majorBidi" w:cstheme="majorBidi"/>
                <w:sz w:val="24"/>
                <w:szCs w:val="24"/>
                <w:lang w:val="en-US"/>
              </w:rPr>
              <w:t xml:space="preserve">44–80 </w:t>
            </w:r>
            <w:proofErr w:type="spellStart"/>
            <w:r w:rsidRPr="005E4B75">
              <w:rPr>
                <w:rFonts w:asciiTheme="majorBidi" w:hAnsiTheme="majorBidi" w:cstheme="majorBidi"/>
                <w:sz w:val="24"/>
                <w:szCs w:val="24"/>
                <w:lang w:val="en-US"/>
              </w:rPr>
              <w:t>μmol</w:t>
            </w:r>
            <w:proofErr w:type="spellEnd"/>
            <w:r w:rsidRPr="005E4B75">
              <w:rPr>
                <w:rFonts w:asciiTheme="majorBidi" w:hAnsiTheme="majorBidi" w:cstheme="majorBidi"/>
                <w:sz w:val="24"/>
                <w:szCs w:val="24"/>
                <w:lang w:val="en-US"/>
              </w:rPr>
              <w:t>/L</w:t>
            </w:r>
          </w:p>
          <w:p w:rsidR="00590D56" w:rsidRPr="005E4B75" w:rsidRDefault="00590D56" w:rsidP="00590D56">
            <w:pPr>
              <w:ind w:left="1377"/>
              <w:rPr>
                <w:rFonts w:asciiTheme="majorBidi" w:hAnsiTheme="majorBidi" w:cstheme="majorBidi"/>
                <w:sz w:val="24"/>
                <w:szCs w:val="24"/>
                <w:lang w:val="en-US"/>
              </w:rPr>
            </w:pPr>
            <w:r w:rsidRPr="005E4B75">
              <w:rPr>
                <w:rFonts w:asciiTheme="majorBidi" w:hAnsiTheme="majorBidi" w:cstheme="majorBidi"/>
                <w:sz w:val="24"/>
                <w:szCs w:val="24"/>
                <w:lang w:val="en-US"/>
              </w:rPr>
              <w:t>0–100 IU/</w:t>
            </w:r>
            <w:proofErr w:type="spellStart"/>
            <w:r w:rsidRPr="005E4B75">
              <w:rPr>
                <w:rFonts w:asciiTheme="majorBidi" w:hAnsiTheme="majorBidi" w:cstheme="majorBidi"/>
                <w:sz w:val="24"/>
                <w:szCs w:val="24"/>
                <w:lang w:val="en-US"/>
              </w:rPr>
              <w:t>dL</w:t>
            </w:r>
            <w:proofErr w:type="spellEnd"/>
          </w:p>
          <w:p w:rsidR="00590D56" w:rsidRPr="005E4B75" w:rsidRDefault="00590D56" w:rsidP="00590D56">
            <w:pPr>
              <w:ind w:left="1392"/>
              <w:rPr>
                <w:rFonts w:asciiTheme="majorBidi" w:hAnsiTheme="majorBidi" w:cstheme="majorBidi"/>
                <w:sz w:val="24"/>
                <w:szCs w:val="24"/>
                <w:lang w:val="en-US"/>
              </w:rPr>
            </w:pPr>
            <w:r w:rsidRPr="005E4B75">
              <w:rPr>
                <w:rFonts w:asciiTheme="majorBidi" w:hAnsiTheme="majorBidi" w:cstheme="majorBidi"/>
                <w:sz w:val="24"/>
                <w:szCs w:val="24"/>
                <w:lang w:val="en-US"/>
              </w:rPr>
              <w:t>5–35 IU/L</w:t>
            </w:r>
          </w:p>
          <w:p w:rsidR="00590D56" w:rsidRPr="005E4B75" w:rsidRDefault="00590D56" w:rsidP="00590D56">
            <w:pPr>
              <w:ind w:left="1332"/>
              <w:rPr>
                <w:rFonts w:asciiTheme="majorBidi" w:hAnsiTheme="majorBidi" w:cstheme="majorBidi"/>
                <w:sz w:val="24"/>
                <w:szCs w:val="24"/>
                <w:lang w:val="en-US"/>
              </w:rPr>
            </w:pPr>
            <w:r w:rsidRPr="005E4B75">
              <w:rPr>
                <w:rFonts w:asciiTheme="majorBidi" w:hAnsiTheme="majorBidi" w:cstheme="majorBidi"/>
                <w:sz w:val="24"/>
                <w:szCs w:val="24"/>
                <w:lang w:val="en-US"/>
              </w:rPr>
              <w:t>35–110 IU/L</w:t>
            </w:r>
          </w:p>
          <w:p w:rsidR="00590D56" w:rsidRPr="005E4B75" w:rsidRDefault="00590D56" w:rsidP="00590D56">
            <w:pPr>
              <w:ind w:left="1332"/>
              <w:rPr>
                <w:rFonts w:asciiTheme="majorBidi" w:hAnsiTheme="majorBidi" w:cstheme="majorBidi"/>
                <w:sz w:val="24"/>
                <w:szCs w:val="24"/>
                <w:lang w:val="en-US"/>
              </w:rPr>
            </w:pPr>
            <w:r w:rsidRPr="005E4B75">
              <w:rPr>
                <w:rFonts w:asciiTheme="majorBidi" w:hAnsiTheme="majorBidi" w:cstheme="majorBidi"/>
                <w:sz w:val="24"/>
                <w:szCs w:val="24"/>
                <w:lang w:val="en-US"/>
              </w:rPr>
              <w:t>11–51 IU/L</w:t>
            </w:r>
          </w:p>
          <w:p w:rsidR="00590D56" w:rsidRPr="005E4B75" w:rsidRDefault="00590D56" w:rsidP="00590D56">
            <w:pPr>
              <w:ind w:left="1362"/>
              <w:rPr>
                <w:rFonts w:asciiTheme="majorBidi" w:hAnsiTheme="majorBidi" w:cstheme="majorBidi"/>
                <w:sz w:val="24"/>
                <w:szCs w:val="24"/>
                <w:lang w:val="en-US"/>
              </w:rPr>
            </w:pPr>
            <w:r w:rsidRPr="005E4B75">
              <w:rPr>
                <w:rFonts w:asciiTheme="majorBidi" w:hAnsiTheme="majorBidi" w:cstheme="majorBidi"/>
                <w:sz w:val="24"/>
                <w:szCs w:val="24"/>
                <w:lang w:val="en-US"/>
              </w:rPr>
              <w:t>35–50 g/L</w:t>
            </w:r>
          </w:p>
          <w:p w:rsidR="00590D56" w:rsidRPr="005E4B75" w:rsidRDefault="00590D56" w:rsidP="00590D56">
            <w:pPr>
              <w:ind w:left="1347"/>
              <w:rPr>
                <w:rFonts w:asciiTheme="majorBidi" w:hAnsiTheme="majorBidi" w:cstheme="majorBidi"/>
                <w:sz w:val="24"/>
                <w:szCs w:val="24"/>
                <w:lang w:val="en-US"/>
              </w:rPr>
            </w:pPr>
            <w:r w:rsidRPr="005E4B75">
              <w:rPr>
                <w:rFonts w:asciiTheme="majorBidi" w:hAnsiTheme="majorBidi" w:cstheme="majorBidi"/>
                <w:sz w:val="24"/>
                <w:szCs w:val="24"/>
                <w:lang w:val="en-US"/>
              </w:rPr>
              <w:t xml:space="preserve">3–17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p w:rsidR="00590D56" w:rsidRDefault="00590D56" w:rsidP="00590D56">
            <w:pPr>
              <w:ind w:left="1317"/>
              <w:jc w:val="both"/>
              <w:rPr>
                <w:rFonts w:asciiTheme="majorBidi" w:hAnsiTheme="majorBidi" w:cstheme="majorBidi"/>
                <w:sz w:val="24"/>
                <w:szCs w:val="24"/>
                <w:lang w:val="en-US"/>
              </w:rPr>
            </w:pPr>
            <w:r w:rsidRPr="005E4B75">
              <w:rPr>
                <w:rFonts w:asciiTheme="majorBidi" w:hAnsiTheme="majorBidi" w:cstheme="majorBidi"/>
                <w:sz w:val="24"/>
                <w:szCs w:val="24"/>
                <w:lang w:val="en-US"/>
              </w:rPr>
              <w:t xml:space="preserve">3.5–5.5 </w:t>
            </w:r>
            <w:proofErr w:type="spellStart"/>
            <w:r w:rsidRPr="005E4B75">
              <w:rPr>
                <w:rFonts w:asciiTheme="majorBidi" w:hAnsiTheme="majorBidi" w:cstheme="majorBidi"/>
                <w:sz w:val="24"/>
                <w:szCs w:val="24"/>
                <w:lang w:val="en-US"/>
              </w:rPr>
              <w:t>mmol</w:t>
            </w:r>
            <w:proofErr w:type="spellEnd"/>
            <w:r w:rsidRPr="005E4B75">
              <w:rPr>
                <w:rFonts w:asciiTheme="majorBidi" w:hAnsiTheme="majorBidi" w:cstheme="majorBidi"/>
                <w:sz w:val="24"/>
                <w:szCs w:val="24"/>
                <w:lang w:val="en-US"/>
              </w:rPr>
              <w:t>/L</w:t>
            </w:r>
          </w:p>
        </w:tc>
      </w:tr>
    </w:tbl>
    <w:p w:rsidR="00C372BC" w:rsidRDefault="00C372BC" w:rsidP="00C372BC">
      <w:pPr>
        <w:rPr>
          <w:rFonts w:asciiTheme="majorBidi" w:hAnsiTheme="majorBidi" w:cstheme="majorBidi"/>
          <w:sz w:val="24"/>
          <w:szCs w:val="24"/>
          <w:lang w:val="en-US"/>
        </w:rPr>
      </w:pPr>
    </w:p>
    <w:p w:rsidR="00C372BC" w:rsidRPr="00C372BC" w:rsidRDefault="00C372BC" w:rsidP="00C372BC">
      <w:pPr>
        <w:rPr>
          <w:rFonts w:asciiTheme="majorBidi" w:hAnsiTheme="majorBidi" w:cstheme="majorBidi"/>
          <w:b/>
          <w:bCs/>
          <w:sz w:val="24"/>
          <w:szCs w:val="24"/>
          <w:lang w:val="en-US"/>
        </w:rPr>
      </w:pPr>
      <w:r w:rsidRPr="00C372BC">
        <w:rPr>
          <w:rFonts w:asciiTheme="majorBidi" w:hAnsiTheme="majorBidi" w:cstheme="majorBidi"/>
          <w:b/>
          <w:bCs/>
          <w:sz w:val="24"/>
          <w:szCs w:val="24"/>
          <w:lang w:val="en-US"/>
        </w:rPr>
        <w:t>Questions</w:t>
      </w:r>
      <w:r>
        <w:rPr>
          <w:rFonts w:asciiTheme="majorBidi" w:hAnsiTheme="majorBidi" w:cstheme="majorBidi"/>
          <w:b/>
          <w:bCs/>
          <w:sz w:val="24"/>
          <w:szCs w:val="24"/>
          <w:lang w:val="en-US"/>
        </w:rPr>
        <w:t>:</w:t>
      </w:r>
    </w:p>
    <w:p w:rsidR="00C372BC" w:rsidRPr="00C372BC" w:rsidRDefault="00C372BC" w:rsidP="00C372BC">
      <w:pPr>
        <w:spacing w:after="0"/>
        <w:rPr>
          <w:rFonts w:asciiTheme="majorBidi" w:hAnsiTheme="majorBidi" w:cstheme="majorBidi"/>
          <w:sz w:val="24"/>
          <w:szCs w:val="24"/>
          <w:lang w:val="en-US"/>
        </w:rPr>
      </w:pPr>
      <w:r w:rsidRPr="00C372BC">
        <w:rPr>
          <w:rFonts w:asciiTheme="majorBidi" w:hAnsiTheme="majorBidi" w:cstheme="majorBidi"/>
          <w:sz w:val="24"/>
          <w:szCs w:val="24"/>
          <w:lang w:val="en-US"/>
        </w:rPr>
        <w:t>• Whose sign is elicited on examination of the abdomen?</w:t>
      </w:r>
    </w:p>
    <w:p w:rsidR="00C372BC" w:rsidRPr="00C372BC" w:rsidRDefault="00C372BC" w:rsidP="00C372BC">
      <w:pPr>
        <w:spacing w:after="0"/>
        <w:rPr>
          <w:rFonts w:asciiTheme="majorBidi" w:hAnsiTheme="majorBidi" w:cstheme="majorBidi"/>
          <w:sz w:val="24"/>
          <w:szCs w:val="24"/>
          <w:lang w:val="en-US"/>
        </w:rPr>
      </w:pPr>
      <w:r w:rsidRPr="00C372BC">
        <w:rPr>
          <w:rFonts w:asciiTheme="majorBidi" w:hAnsiTheme="majorBidi" w:cstheme="majorBidi"/>
          <w:sz w:val="24"/>
          <w:szCs w:val="24"/>
          <w:lang w:val="en-US"/>
        </w:rPr>
        <w:t>• What is the most likely diagnosis?</w:t>
      </w:r>
    </w:p>
    <w:p w:rsidR="00C372BC" w:rsidRPr="00C372BC" w:rsidRDefault="00C372BC" w:rsidP="00C372BC">
      <w:pPr>
        <w:spacing w:after="0"/>
        <w:rPr>
          <w:rFonts w:asciiTheme="majorBidi" w:hAnsiTheme="majorBidi" w:cstheme="majorBidi"/>
          <w:sz w:val="24"/>
          <w:szCs w:val="24"/>
          <w:lang w:val="en-US"/>
        </w:rPr>
      </w:pPr>
      <w:r w:rsidRPr="00C372BC">
        <w:rPr>
          <w:rFonts w:asciiTheme="majorBidi" w:hAnsiTheme="majorBidi" w:cstheme="majorBidi"/>
          <w:sz w:val="24"/>
          <w:szCs w:val="24"/>
          <w:lang w:val="en-US"/>
        </w:rPr>
        <w:t>• What is your first-line treatment?</w:t>
      </w:r>
    </w:p>
    <w:p w:rsidR="00C372BC" w:rsidRPr="00C372BC" w:rsidRDefault="00C372BC" w:rsidP="00C372BC">
      <w:pPr>
        <w:spacing w:after="0"/>
        <w:rPr>
          <w:rFonts w:asciiTheme="majorBidi" w:hAnsiTheme="majorBidi" w:cstheme="majorBidi"/>
          <w:sz w:val="24"/>
          <w:szCs w:val="24"/>
          <w:lang w:val="en-US"/>
        </w:rPr>
      </w:pPr>
      <w:r w:rsidRPr="00C372BC">
        <w:rPr>
          <w:rFonts w:asciiTheme="majorBidi" w:hAnsiTheme="majorBidi" w:cstheme="majorBidi"/>
          <w:sz w:val="24"/>
          <w:szCs w:val="24"/>
          <w:lang w:val="en-US"/>
        </w:rPr>
        <w:t>• What would you prescribe to treat the high blood glucose?</w:t>
      </w:r>
    </w:p>
    <w:p w:rsidR="005E4B75" w:rsidRDefault="00C372BC" w:rsidP="00C372BC">
      <w:pPr>
        <w:spacing w:after="0"/>
        <w:jc w:val="both"/>
        <w:rPr>
          <w:rFonts w:asciiTheme="majorBidi" w:hAnsiTheme="majorBidi" w:cstheme="majorBidi"/>
          <w:sz w:val="24"/>
          <w:szCs w:val="24"/>
          <w:lang w:val="en-US"/>
        </w:rPr>
      </w:pPr>
      <w:r w:rsidRPr="00C372BC">
        <w:rPr>
          <w:rFonts w:asciiTheme="majorBidi" w:hAnsiTheme="majorBidi" w:cstheme="majorBidi"/>
          <w:sz w:val="24"/>
          <w:szCs w:val="24"/>
          <w:lang w:val="en-US"/>
        </w:rPr>
        <w:t xml:space="preserve">• What specific complication is this patient at risk </w:t>
      </w:r>
      <w:proofErr w:type="gramStart"/>
      <w:r w:rsidRPr="00C372BC">
        <w:rPr>
          <w:rFonts w:asciiTheme="majorBidi" w:hAnsiTheme="majorBidi" w:cstheme="majorBidi"/>
          <w:sz w:val="24"/>
          <w:szCs w:val="24"/>
          <w:lang w:val="en-US"/>
        </w:rPr>
        <w:t>of</w:t>
      </w:r>
      <w:r w:rsidR="00344F5B">
        <w:rPr>
          <w:rFonts w:asciiTheme="majorBidi" w:hAnsiTheme="majorBidi" w:cstheme="majorBidi"/>
          <w:sz w:val="24"/>
          <w:szCs w:val="24"/>
          <w:lang w:val="en-US"/>
        </w:rPr>
        <w:t xml:space="preserve"> </w:t>
      </w:r>
      <w:r w:rsidRPr="00C372BC">
        <w:rPr>
          <w:rFonts w:asciiTheme="majorBidi" w:hAnsiTheme="majorBidi" w:cstheme="majorBidi"/>
          <w:sz w:val="24"/>
          <w:szCs w:val="24"/>
          <w:lang w:val="en-US"/>
        </w:rPr>
        <w:t>?</w:t>
      </w:r>
      <w:proofErr w:type="gramEnd"/>
    </w:p>
    <w:p w:rsidR="008714E2" w:rsidRDefault="008714E2" w:rsidP="00C372BC">
      <w:pPr>
        <w:spacing w:after="0"/>
        <w:jc w:val="both"/>
        <w:rPr>
          <w:rFonts w:asciiTheme="majorBidi" w:hAnsiTheme="majorBidi" w:cstheme="majorBidi"/>
          <w:sz w:val="24"/>
          <w:szCs w:val="24"/>
          <w:lang w:val="en-US"/>
        </w:rPr>
      </w:pPr>
    </w:p>
    <w:p w:rsidR="008714E2" w:rsidRPr="008714E2" w:rsidRDefault="008714E2" w:rsidP="008714E2">
      <w:pPr>
        <w:spacing w:after="0"/>
        <w:rPr>
          <w:rFonts w:asciiTheme="majorBidi" w:hAnsiTheme="majorBidi" w:cstheme="majorBidi"/>
          <w:b/>
          <w:bCs/>
          <w:sz w:val="24"/>
          <w:szCs w:val="24"/>
          <w:lang w:val="en-US"/>
        </w:rPr>
      </w:pPr>
      <w:r w:rsidRPr="008714E2">
        <w:rPr>
          <w:rFonts w:asciiTheme="majorBidi" w:hAnsiTheme="majorBidi" w:cstheme="majorBidi"/>
          <w:b/>
          <w:bCs/>
          <w:sz w:val="24"/>
          <w:szCs w:val="24"/>
          <w:lang w:val="en-US"/>
        </w:rPr>
        <w:t>ANSWER:</w:t>
      </w:r>
    </w:p>
    <w:p w:rsidR="008714E2" w:rsidRDefault="008714E2" w:rsidP="00C603D9">
      <w:pPr>
        <w:spacing w:after="0"/>
        <w:jc w:val="both"/>
        <w:rPr>
          <w:rFonts w:asciiTheme="majorBidi" w:hAnsiTheme="majorBidi" w:cstheme="majorBidi"/>
          <w:sz w:val="24"/>
          <w:szCs w:val="24"/>
          <w:lang w:val="en-US"/>
        </w:rPr>
      </w:pPr>
      <w:r w:rsidRPr="008714E2">
        <w:rPr>
          <w:rFonts w:asciiTheme="majorBidi" w:hAnsiTheme="majorBidi" w:cstheme="majorBidi"/>
          <w:sz w:val="24"/>
          <w:szCs w:val="24"/>
          <w:lang w:val="en-US"/>
        </w:rPr>
        <w:t>Murphy’s sign has been demonstrated, which is described as tenderness under the tip of the</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ninth costal cartilage, which catches on inspiration. A palpable mass, caused by inflammation</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 xml:space="preserve">and adherent </w:t>
      </w:r>
      <w:proofErr w:type="spellStart"/>
      <w:r w:rsidRPr="008714E2">
        <w:rPr>
          <w:rFonts w:asciiTheme="majorBidi" w:hAnsiTheme="majorBidi" w:cstheme="majorBidi"/>
          <w:sz w:val="24"/>
          <w:szCs w:val="24"/>
          <w:lang w:val="en-US"/>
        </w:rPr>
        <w:t>omentum</w:t>
      </w:r>
      <w:proofErr w:type="spellEnd"/>
      <w:r w:rsidRPr="008714E2">
        <w:rPr>
          <w:rFonts w:asciiTheme="majorBidi" w:hAnsiTheme="majorBidi" w:cstheme="majorBidi"/>
          <w:sz w:val="24"/>
          <w:szCs w:val="24"/>
          <w:lang w:val="en-US"/>
        </w:rPr>
        <w:t>, is present in up to 40 per cent of patients with cholecystitis. An</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abdominal ultrasound should be requested, which should confirm a thickened gallbladder</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wall with surrounding free fluid, supporting the diagnosis.</w:t>
      </w:r>
      <w:r w:rsidRPr="008714E2">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The majority of episodes of acute cholecystitis settle with analgesia and antibiotics. This</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 xml:space="preserve">patient’s diabetes should be controlled with an insulin infusion, until she restarts a </w:t>
      </w:r>
      <w:r w:rsidRPr="008714E2">
        <w:rPr>
          <w:rFonts w:asciiTheme="majorBidi" w:hAnsiTheme="majorBidi" w:cstheme="majorBidi"/>
          <w:sz w:val="24"/>
          <w:szCs w:val="24"/>
          <w:lang w:val="en-US"/>
        </w:rPr>
        <w:lastRenderedPageBreak/>
        <w:t>normal</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 xml:space="preserve">diet. Many </w:t>
      </w:r>
      <w:r w:rsidRPr="008714E2">
        <w:rPr>
          <w:rFonts w:asciiTheme="majorBidi" w:hAnsiTheme="majorBidi" w:cstheme="majorBidi"/>
          <w:sz w:val="24"/>
          <w:szCs w:val="24"/>
          <w:lang w:val="en-US"/>
        </w:rPr>
        <w:t>centers</w:t>
      </w:r>
      <w:r w:rsidRPr="008714E2">
        <w:rPr>
          <w:rFonts w:asciiTheme="majorBidi" w:hAnsiTheme="majorBidi" w:cstheme="majorBidi"/>
          <w:sz w:val="24"/>
          <w:szCs w:val="24"/>
          <w:lang w:val="en-US"/>
        </w:rPr>
        <w:t xml:space="preserve"> are now performing early cholecystectomy, especially for patients with</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recurrent episodes, or if the symptoms fail to settle despite conservative treatment. If this is</w:t>
      </w:r>
      <w:r>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not appropriate, then elective cholecystectomy can be carried out at an interval of approximately</w:t>
      </w:r>
      <w:r w:rsidR="00C603D9">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6 weeks, after the inflammation has settled.</w:t>
      </w:r>
      <w:r w:rsidR="00C603D9" w:rsidRPr="008714E2">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Acute cholecystitis can lead to a build-up of infected bile within the gallbladder lumen,</w:t>
      </w:r>
      <w:r w:rsidR="00C603D9" w:rsidRPr="008714E2">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resulting in an empyema. The gallbladder can also become gangrenous, leading to perforation.</w:t>
      </w:r>
      <w:r w:rsidR="00C603D9" w:rsidRPr="008714E2">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Patients are at increased risk if they are diabetic, immunosuppressed, obese or have a</w:t>
      </w:r>
      <w:r w:rsidR="00C603D9">
        <w:rPr>
          <w:rFonts w:asciiTheme="majorBidi" w:hAnsiTheme="majorBidi" w:cstheme="majorBidi"/>
          <w:sz w:val="24"/>
          <w:szCs w:val="24"/>
          <w:lang w:val="en-US"/>
        </w:rPr>
        <w:t xml:space="preserve"> </w:t>
      </w:r>
      <w:proofErr w:type="spellStart"/>
      <w:r w:rsidRPr="008714E2">
        <w:rPr>
          <w:rFonts w:asciiTheme="majorBidi" w:hAnsiTheme="majorBidi" w:cstheme="majorBidi"/>
          <w:sz w:val="24"/>
          <w:szCs w:val="24"/>
          <w:lang w:val="en-US"/>
        </w:rPr>
        <w:t>haemoglobinopathy</w:t>
      </w:r>
      <w:proofErr w:type="spellEnd"/>
      <w:r w:rsidRPr="008714E2">
        <w:rPr>
          <w:rFonts w:asciiTheme="majorBidi" w:hAnsiTheme="majorBidi" w:cstheme="majorBidi"/>
          <w:sz w:val="24"/>
          <w:szCs w:val="24"/>
          <w:lang w:val="en-US"/>
        </w:rPr>
        <w:t>.</w:t>
      </w:r>
      <w:r w:rsidR="00C603D9" w:rsidRPr="008714E2">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If patients are elderly or have significant comorbidities, initial decompression may be accomplished</w:t>
      </w:r>
      <w:r w:rsidR="00C603D9">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 xml:space="preserve">under radiographic guidance (percutaneous </w:t>
      </w:r>
      <w:proofErr w:type="spellStart"/>
      <w:r w:rsidRPr="008714E2">
        <w:rPr>
          <w:rFonts w:asciiTheme="majorBidi" w:hAnsiTheme="majorBidi" w:cstheme="majorBidi"/>
          <w:sz w:val="24"/>
          <w:szCs w:val="24"/>
          <w:lang w:val="en-US"/>
        </w:rPr>
        <w:t>cholecystostomy</w:t>
      </w:r>
      <w:proofErr w:type="spellEnd"/>
      <w:r w:rsidRPr="008714E2">
        <w:rPr>
          <w:rFonts w:asciiTheme="majorBidi" w:hAnsiTheme="majorBidi" w:cstheme="majorBidi"/>
          <w:sz w:val="24"/>
          <w:szCs w:val="24"/>
          <w:lang w:val="en-US"/>
        </w:rPr>
        <w:t>). These patients should</w:t>
      </w:r>
      <w:r w:rsidR="00C603D9">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be managed aggressively with antibiotics and early decompression, as the resulting sepsis can</w:t>
      </w:r>
      <w:r w:rsidR="00C603D9">
        <w:rPr>
          <w:rFonts w:asciiTheme="majorBidi" w:hAnsiTheme="majorBidi" w:cstheme="majorBidi"/>
          <w:sz w:val="24"/>
          <w:szCs w:val="24"/>
          <w:lang w:val="en-US"/>
        </w:rPr>
        <w:t xml:space="preserve"> </w:t>
      </w:r>
      <w:r w:rsidRPr="008714E2">
        <w:rPr>
          <w:rFonts w:asciiTheme="majorBidi" w:hAnsiTheme="majorBidi" w:cstheme="majorBidi"/>
          <w:sz w:val="24"/>
          <w:szCs w:val="24"/>
          <w:lang w:val="en-US"/>
        </w:rPr>
        <w:t>be life-threatening.</w:t>
      </w:r>
    </w:p>
    <w:p w:rsidR="00C603D9" w:rsidRPr="008714E2" w:rsidRDefault="00C603D9" w:rsidP="00C603D9">
      <w:pPr>
        <w:spacing w:after="0"/>
        <w:jc w:val="both"/>
        <w:rPr>
          <w:rFonts w:asciiTheme="majorBidi" w:hAnsiTheme="majorBidi" w:cstheme="majorBidi"/>
          <w:sz w:val="24"/>
          <w:szCs w:val="24"/>
          <w:lang w:val="en-US"/>
        </w:rPr>
      </w:pPr>
    </w:p>
    <w:p w:rsidR="008714E2" w:rsidRPr="00C603D9" w:rsidRDefault="008714E2" w:rsidP="008714E2">
      <w:pPr>
        <w:spacing w:after="0"/>
        <w:jc w:val="both"/>
        <w:rPr>
          <w:rFonts w:asciiTheme="majorBidi" w:hAnsiTheme="majorBidi" w:cstheme="majorBidi"/>
          <w:b/>
          <w:bCs/>
          <w:sz w:val="24"/>
          <w:szCs w:val="24"/>
          <w:lang w:val="en-US"/>
        </w:rPr>
      </w:pPr>
      <w:r w:rsidRPr="00C603D9">
        <w:rPr>
          <w:rFonts w:asciiTheme="majorBidi" w:hAnsiTheme="majorBidi" w:cstheme="majorBidi"/>
          <w:b/>
          <w:bCs/>
          <w:sz w:val="24"/>
          <w:szCs w:val="24"/>
          <w:lang w:val="en-US"/>
        </w:rPr>
        <w:t>KEY POINT</w:t>
      </w:r>
      <w:r w:rsidR="00C603D9">
        <w:rPr>
          <w:rFonts w:asciiTheme="majorBidi" w:hAnsiTheme="majorBidi" w:cstheme="majorBidi"/>
          <w:b/>
          <w:bCs/>
          <w:sz w:val="24"/>
          <w:szCs w:val="24"/>
          <w:lang w:val="en-US"/>
        </w:rPr>
        <w:t>:</w:t>
      </w:r>
    </w:p>
    <w:p w:rsidR="008714E2" w:rsidRPr="008A535A" w:rsidRDefault="008714E2" w:rsidP="00C603D9">
      <w:pPr>
        <w:spacing w:after="0"/>
        <w:ind w:left="284" w:hanging="284"/>
        <w:jc w:val="both"/>
        <w:rPr>
          <w:rFonts w:asciiTheme="majorBidi" w:hAnsiTheme="majorBidi" w:cstheme="majorBidi"/>
          <w:sz w:val="24"/>
          <w:szCs w:val="24"/>
          <w:lang w:val="en-US"/>
        </w:rPr>
      </w:pPr>
      <w:r w:rsidRPr="008714E2">
        <w:rPr>
          <w:rFonts w:asciiTheme="majorBidi" w:hAnsiTheme="majorBidi" w:cstheme="majorBidi"/>
          <w:sz w:val="24"/>
          <w:szCs w:val="24"/>
          <w:lang w:val="en-US"/>
        </w:rPr>
        <w:t xml:space="preserve">• Early cholecystectomy is now routinely </w:t>
      </w:r>
      <w:r w:rsidR="00865E28" w:rsidRPr="008714E2">
        <w:rPr>
          <w:rFonts w:asciiTheme="majorBidi" w:hAnsiTheme="majorBidi" w:cstheme="majorBidi"/>
          <w:sz w:val="24"/>
          <w:szCs w:val="24"/>
          <w:lang w:val="en-US"/>
        </w:rPr>
        <w:t>practiced</w:t>
      </w:r>
      <w:bookmarkStart w:id="0" w:name="_GoBack"/>
      <w:bookmarkEnd w:id="0"/>
      <w:r w:rsidRPr="008714E2">
        <w:rPr>
          <w:rFonts w:asciiTheme="majorBidi" w:hAnsiTheme="majorBidi" w:cstheme="majorBidi"/>
          <w:sz w:val="24"/>
          <w:szCs w:val="24"/>
          <w:lang w:val="en-US"/>
        </w:rPr>
        <w:t xml:space="preserve"> in the management of </w:t>
      </w:r>
      <w:r w:rsidR="00865E28" w:rsidRPr="008714E2">
        <w:rPr>
          <w:rFonts w:asciiTheme="majorBidi" w:hAnsiTheme="majorBidi" w:cstheme="majorBidi"/>
          <w:sz w:val="24"/>
          <w:szCs w:val="24"/>
          <w:lang w:val="en-US"/>
        </w:rPr>
        <w:t>acute</w:t>
      </w:r>
      <w:r w:rsidR="00865E28">
        <w:rPr>
          <w:rFonts w:asciiTheme="majorBidi" w:hAnsiTheme="majorBidi" w:cstheme="majorBidi"/>
          <w:sz w:val="24"/>
          <w:szCs w:val="24"/>
          <w:lang w:val="en-US"/>
        </w:rPr>
        <w:t xml:space="preserve"> cholecystitis</w:t>
      </w:r>
      <w:r w:rsidRPr="008714E2">
        <w:rPr>
          <w:rFonts w:asciiTheme="majorBidi" w:hAnsiTheme="majorBidi" w:cstheme="majorBidi"/>
          <w:sz w:val="24"/>
          <w:szCs w:val="24"/>
          <w:lang w:val="en-US"/>
        </w:rPr>
        <w:t>.</w:t>
      </w:r>
    </w:p>
    <w:sectPr w:rsidR="008714E2" w:rsidRPr="008A535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B9" w:rsidRDefault="002C54B9" w:rsidP="003364C0">
      <w:pPr>
        <w:spacing w:after="0" w:line="240" w:lineRule="auto"/>
      </w:pPr>
      <w:r>
        <w:separator/>
      </w:r>
    </w:p>
  </w:endnote>
  <w:endnote w:type="continuationSeparator" w:id="0">
    <w:p w:rsidR="002C54B9" w:rsidRDefault="002C54B9" w:rsidP="003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B9" w:rsidRDefault="002C54B9" w:rsidP="003364C0">
      <w:pPr>
        <w:spacing w:after="0" w:line="240" w:lineRule="auto"/>
      </w:pPr>
      <w:r>
        <w:separator/>
      </w:r>
    </w:p>
  </w:footnote>
  <w:footnote w:type="continuationSeparator" w:id="0">
    <w:p w:rsidR="002C54B9" w:rsidRDefault="002C54B9" w:rsidP="00336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1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53"/>
    </w:tblGrid>
    <w:tr w:rsidR="003364C0" w:rsidTr="003364C0">
      <w:trPr>
        <w:trHeight w:val="288"/>
      </w:trPr>
      <w:tc>
        <w:tcPr>
          <w:tcW w:w="8053" w:type="dxa"/>
        </w:tcPr>
        <w:p w:rsidR="003364C0" w:rsidRPr="003364C0" w:rsidRDefault="003364C0" w:rsidP="003364C0">
          <w:pPr>
            <w:pStyle w:val="Header"/>
            <w:tabs>
              <w:tab w:val="clear" w:pos="8306"/>
              <w:tab w:val="center" w:pos="3911"/>
              <w:tab w:val="left" w:pos="4320"/>
              <w:tab w:val="left" w:pos="5040"/>
              <w:tab w:val="left" w:pos="5760"/>
              <w:tab w:val="left" w:pos="6480"/>
              <w:tab w:val="left" w:pos="7200"/>
            </w:tabs>
            <w:rPr>
              <w:rFonts w:asciiTheme="majorBidi" w:eastAsiaTheme="majorEastAsia" w:hAnsiTheme="majorBidi" w:cstheme="majorBidi"/>
              <w:b/>
              <w:bCs/>
              <w:i/>
              <w:iCs/>
              <w:sz w:val="24"/>
              <w:szCs w:val="24"/>
            </w:rPr>
          </w:pPr>
          <w:r w:rsidRPr="003364C0">
            <w:rPr>
              <w:rFonts w:asciiTheme="majorBidi" w:eastAsiaTheme="majorEastAsia" w:hAnsiTheme="majorBidi" w:cstheme="majorBidi"/>
              <w:b/>
              <w:bCs/>
              <w:i/>
              <w:iCs/>
              <w:sz w:val="24"/>
              <w:szCs w:val="24"/>
            </w:rPr>
            <w:tab/>
          </w:r>
          <w:sdt>
            <w:sdtPr>
              <w:rPr>
                <w:rFonts w:asciiTheme="majorBidi" w:eastAsiaTheme="majorEastAsia" w:hAnsiTheme="majorBidi" w:cstheme="majorBidi"/>
                <w:b/>
                <w:bCs/>
                <w:i/>
                <w:iCs/>
                <w:sz w:val="24"/>
                <w:szCs w:val="24"/>
              </w:rPr>
              <w:alias w:val="Title"/>
              <w:id w:val="77761602"/>
              <w:placeholder>
                <w:docPart w:val="D64544F2D77F4D7EA514DBD1C4EF6202"/>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Pr="003364C0">
                <w:rPr>
                  <w:rFonts w:asciiTheme="majorBidi" w:eastAsiaTheme="majorEastAsia" w:hAnsiTheme="majorBidi" w:cstheme="majorBidi"/>
                  <w:b/>
                  <w:bCs/>
                  <w:i/>
                  <w:iCs/>
                  <w:sz w:val="24"/>
                  <w:szCs w:val="24"/>
                </w:rPr>
                <w:t>Cholilithiasis</w:t>
              </w:r>
              <w:proofErr w:type="spellEnd"/>
            </w:sdtContent>
          </w:sdt>
          <w:r w:rsidRPr="003364C0">
            <w:rPr>
              <w:rFonts w:asciiTheme="majorBidi" w:eastAsiaTheme="majorEastAsia" w:hAnsiTheme="majorBidi" w:cstheme="majorBidi"/>
              <w:b/>
              <w:bCs/>
              <w:i/>
              <w:iCs/>
              <w:sz w:val="24"/>
              <w:szCs w:val="24"/>
            </w:rPr>
            <w:tab/>
          </w:r>
        </w:p>
      </w:tc>
    </w:tr>
  </w:tbl>
  <w:p w:rsidR="003364C0" w:rsidRDefault="00336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74"/>
    <w:rsid w:val="00205BD9"/>
    <w:rsid w:val="002C54B9"/>
    <w:rsid w:val="003364C0"/>
    <w:rsid w:val="00344F5B"/>
    <w:rsid w:val="00590D56"/>
    <w:rsid w:val="005E4B75"/>
    <w:rsid w:val="00813964"/>
    <w:rsid w:val="00865E28"/>
    <w:rsid w:val="008714E2"/>
    <w:rsid w:val="00876209"/>
    <w:rsid w:val="008A535A"/>
    <w:rsid w:val="00952580"/>
    <w:rsid w:val="009679C4"/>
    <w:rsid w:val="009C1FF1"/>
    <w:rsid w:val="00C12774"/>
    <w:rsid w:val="00C372BC"/>
    <w:rsid w:val="00C603D9"/>
    <w:rsid w:val="00CE6D27"/>
    <w:rsid w:val="00E30A5C"/>
    <w:rsid w:val="00F25B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64C0"/>
  </w:style>
  <w:style w:type="paragraph" w:styleId="Footer">
    <w:name w:val="footer"/>
    <w:basedOn w:val="Normal"/>
    <w:link w:val="FooterChar"/>
    <w:uiPriority w:val="99"/>
    <w:unhideWhenUsed/>
    <w:rsid w:val="003364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64C0"/>
  </w:style>
  <w:style w:type="paragraph" w:styleId="BalloonText">
    <w:name w:val="Balloon Text"/>
    <w:basedOn w:val="Normal"/>
    <w:link w:val="BalloonTextChar"/>
    <w:uiPriority w:val="99"/>
    <w:semiHidden/>
    <w:unhideWhenUsed/>
    <w:rsid w:val="00336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C0"/>
    <w:rPr>
      <w:rFonts w:ascii="Tahoma" w:hAnsi="Tahoma" w:cs="Tahoma"/>
      <w:sz w:val="16"/>
      <w:szCs w:val="16"/>
    </w:rPr>
  </w:style>
  <w:style w:type="table" w:styleId="TableGrid">
    <w:name w:val="Table Grid"/>
    <w:basedOn w:val="TableNormal"/>
    <w:uiPriority w:val="59"/>
    <w:rsid w:val="005E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64C0"/>
  </w:style>
  <w:style w:type="paragraph" w:styleId="Footer">
    <w:name w:val="footer"/>
    <w:basedOn w:val="Normal"/>
    <w:link w:val="FooterChar"/>
    <w:uiPriority w:val="99"/>
    <w:unhideWhenUsed/>
    <w:rsid w:val="003364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64C0"/>
  </w:style>
  <w:style w:type="paragraph" w:styleId="BalloonText">
    <w:name w:val="Balloon Text"/>
    <w:basedOn w:val="Normal"/>
    <w:link w:val="BalloonTextChar"/>
    <w:uiPriority w:val="99"/>
    <w:semiHidden/>
    <w:unhideWhenUsed/>
    <w:rsid w:val="00336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C0"/>
    <w:rPr>
      <w:rFonts w:ascii="Tahoma" w:hAnsi="Tahoma" w:cs="Tahoma"/>
      <w:sz w:val="16"/>
      <w:szCs w:val="16"/>
    </w:rPr>
  </w:style>
  <w:style w:type="table" w:styleId="TableGrid">
    <w:name w:val="Table Grid"/>
    <w:basedOn w:val="TableNormal"/>
    <w:uiPriority w:val="59"/>
    <w:rsid w:val="005E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4544F2D77F4D7EA514DBD1C4EF6202"/>
        <w:category>
          <w:name w:val="General"/>
          <w:gallery w:val="placeholder"/>
        </w:category>
        <w:types>
          <w:type w:val="bbPlcHdr"/>
        </w:types>
        <w:behaviors>
          <w:behavior w:val="content"/>
        </w:behaviors>
        <w:guid w:val="{8E525B4A-DAFD-42F0-A824-B377CD6E0E9E}"/>
      </w:docPartPr>
      <w:docPartBody>
        <w:p w:rsidR="00F461AA" w:rsidRDefault="00B74E05" w:rsidP="00B74E05">
          <w:pPr>
            <w:pStyle w:val="D64544F2D77F4D7EA514DBD1C4EF6202"/>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05"/>
    <w:rsid w:val="003F1D1F"/>
    <w:rsid w:val="00B74E05"/>
    <w:rsid w:val="00DB625F"/>
    <w:rsid w:val="00F461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452E3A944535BD7906AD9D2DD032">
    <w:name w:val="59C1452E3A944535BD7906AD9D2DD032"/>
    <w:rsid w:val="00B74E05"/>
  </w:style>
  <w:style w:type="paragraph" w:customStyle="1" w:styleId="09D66EA5B032450A980BBDA9E42AC340">
    <w:name w:val="09D66EA5B032450A980BBDA9E42AC340"/>
    <w:rsid w:val="00B74E05"/>
  </w:style>
  <w:style w:type="paragraph" w:customStyle="1" w:styleId="D64544F2D77F4D7EA514DBD1C4EF6202">
    <w:name w:val="D64544F2D77F4D7EA514DBD1C4EF6202"/>
    <w:rsid w:val="00B74E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452E3A944535BD7906AD9D2DD032">
    <w:name w:val="59C1452E3A944535BD7906AD9D2DD032"/>
    <w:rsid w:val="00B74E05"/>
  </w:style>
  <w:style w:type="paragraph" w:customStyle="1" w:styleId="09D66EA5B032450A980BBDA9E42AC340">
    <w:name w:val="09D66EA5B032450A980BBDA9E42AC340"/>
    <w:rsid w:val="00B74E05"/>
  </w:style>
  <w:style w:type="paragraph" w:customStyle="1" w:styleId="D64544F2D77F4D7EA514DBD1C4EF6202">
    <w:name w:val="D64544F2D77F4D7EA514DBD1C4EF6202"/>
    <w:rsid w:val="00B74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Cholilithiasis</vt:lpstr>
    </vt:vector>
  </TitlesOfParts>
  <Company>Enjoy My Fine Releases.</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Cholilithiasis</dc:title>
  <dc:subject/>
  <dc:creator>DR.Ahmed Saker 2O11</dc:creator>
  <cp:keywords/>
  <dc:description/>
  <cp:lastModifiedBy>DR.Ahmed Saker 2O11</cp:lastModifiedBy>
  <cp:revision>17</cp:revision>
  <dcterms:created xsi:type="dcterms:W3CDTF">2018-04-20T19:12:00Z</dcterms:created>
  <dcterms:modified xsi:type="dcterms:W3CDTF">2018-04-21T05:29:00Z</dcterms:modified>
</cp:coreProperties>
</file>