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C5" w:rsidRDefault="00431F7C" w:rsidP="00431F7C">
      <w:pPr>
        <w:jc w:val="both"/>
        <w:rPr>
          <w:rFonts w:asciiTheme="majorBidi" w:hAnsiTheme="majorBidi" w:cstheme="majorBidi"/>
          <w:sz w:val="24"/>
          <w:szCs w:val="24"/>
        </w:rPr>
      </w:pPr>
      <w:r w:rsidRPr="00431F7C">
        <w:rPr>
          <w:rFonts w:asciiTheme="majorBidi" w:hAnsiTheme="majorBidi" w:cstheme="majorBidi"/>
          <w:b/>
          <w:bCs/>
          <w:sz w:val="24"/>
          <w:szCs w:val="24"/>
        </w:rPr>
        <w:t>Case:</w:t>
      </w:r>
      <w:r w:rsidRPr="00431F7C">
        <w:rPr>
          <w:rFonts w:asciiTheme="majorBidi" w:hAnsiTheme="majorBidi" w:cstheme="majorBidi"/>
          <w:sz w:val="24"/>
          <w:szCs w:val="24"/>
        </w:rPr>
        <w:t xml:space="preserve"> A</w:t>
      </w:r>
      <w:r w:rsidRPr="00431F7C">
        <w:rPr>
          <w:rFonts w:asciiTheme="majorBidi" w:hAnsiTheme="majorBidi" w:cstheme="majorBidi"/>
          <w:sz w:val="24"/>
          <w:szCs w:val="24"/>
        </w:rPr>
        <w:t xml:space="preserve"> 33-year-old female office worker presents to the emergency department complaining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31F7C">
        <w:rPr>
          <w:rFonts w:asciiTheme="majorBidi" w:hAnsiTheme="majorBidi" w:cstheme="majorBidi"/>
          <w:sz w:val="24"/>
          <w:szCs w:val="24"/>
        </w:rPr>
        <w:t>severe left-sided abdominal pain. The pain woke her in the early hours of the morning 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31F7C">
        <w:rPr>
          <w:rFonts w:asciiTheme="majorBidi" w:hAnsiTheme="majorBidi" w:cstheme="majorBidi"/>
          <w:sz w:val="24"/>
          <w:szCs w:val="24"/>
        </w:rPr>
        <w:t>has persisted throughout the day. She is unable to keep still and has vomited bilious material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31F7C">
        <w:rPr>
          <w:rFonts w:asciiTheme="majorBidi" w:hAnsiTheme="majorBidi" w:cstheme="majorBidi"/>
          <w:sz w:val="24"/>
          <w:szCs w:val="24"/>
        </w:rPr>
        <w:t>on five occasions. She reports no diarrhoea or rectal bleeding. Previous medical history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31F7C">
        <w:rPr>
          <w:rFonts w:asciiTheme="majorBidi" w:hAnsiTheme="majorBidi" w:cstheme="majorBidi"/>
          <w:sz w:val="24"/>
          <w:szCs w:val="24"/>
        </w:rPr>
        <w:t xml:space="preserve">includes </w:t>
      </w:r>
      <w:proofErr w:type="spellStart"/>
      <w:r w:rsidRPr="00431F7C">
        <w:rPr>
          <w:rFonts w:asciiTheme="majorBidi" w:hAnsiTheme="majorBidi" w:cstheme="majorBidi"/>
          <w:sz w:val="24"/>
          <w:szCs w:val="24"/>
        </w:rPr>
        <w:t>appendicectomy</w:t>
      </w:r>
      <w:proofErr w:type="spellEnd"/>
      <w:r w:rsidRPr="00431F7C">
        <w:rPr>
          <w:rFonts w:asciiTheme="majorBidi" w:hAnsiTheme="majorBidi" w:cstheme="majorBidi"/>
          <w:sz w:val="24"/>
          <w:szCs w:val="24"/>
        </w:rPr>
        <w:t xml:space="preserve"> and irritable bowel syndrome. She has had a recent colonoscopy,</w:t>
      </w:r>
      <w:r w:rsidRPr="00431F7C">
        <w:rPr>
          <w:rFonts w:asciiTheme="majorBidi" w:hAnsiTheme="majorBidi" w:cstheme="majorBidi"/>
          <w:sz w:val="24"/>
          <w:szCs w:val="24"/>
        </w:rPr>
        <w:t xml:space="preserve"> </w:t>
      </w:r>
      <w:r w:rsidRPr="00431F7C">
        <w:rPr>
          <w:rFonts w:asciiTheme="majorBidi" w:hAnsiTheme="majorBidi" w:cstheme="majorBidi"/>
          <w:sz w:val="24"/>
          <w:szCs w:val="24"/>
        </w:rPr>
        <w:t xml:space="preserve">which was normal. She takes </w:t>
      </w:r>
      <w:proofErr w:type="spellStart"/>
      <w:r w:rsidRPr="00431F7C">
        <w:rPr>
          <w:rFonts w:asciiTheme="majorBidi" w:hAnsiTheme="majorBidi" w:cstheme="majorBidi"/>
          <w:sz w:val="24"/>
          <w:szCs w:val="24"/>
        </w:rPr>
        <w:t>mebeverine</w:t>
      </w:r>
      <w:proofErr w:type="spellEnd"/>
      <w:r w:rsidRPr="00431F7C">
        <w:rPr>
          <w:rFonts w:asciiTheme="majorBidi" w:hAnsiTheme="majorBidi" w:cstheme="majorBidi"/>
          <w:sz w:val="24"/>
          <w:szCs w:val="24"/>
        </w:rPr>
        <w:t xml:space="preserve"> for irritable bowel syndrome and multivitamin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31F7C">
        <w:rPr>
          <w:rFonts w:asciiTheme="majorBidi" w:hAnsiTheme="majorBidi" w:cstheme="majorBidi"/>
          <w:sz w:val="24"/>
          <w:szCs w:val="24"/>
        </w:rPr>
        <w:t xml:space="preserve">tablets. She smokes 15 cigarettes per </w:t>
      </w:r>
      <w:r w:rsidRPr="00431F7C">
        <w:rPr>
          <w:rFonts w:asciiTheme="majorBidi" w:hAnsiTheme="majorBidi" w:cstheme="majorBidi"/>
          <w:sz w:val="24"/>
          <w:szCs w:val="24"/>
        </w:rPr>
        <w:t>day. On</w:t>
      </w:r>
      <w:r w:rsidRPr="00431F7C">
        <w:rPr>
          <w:rFonts w:asciiTheme="majorBidi" w:hAnsiTheme="majorBidi" w:cstheme="majorBidi"/>
          <w:sz w:val="24"/>
          <w:szCs w:val="24"/>
        </w:rPr>
        <w:t xml:space="preserve"> examination, she has a temperature of 37°C, a blood pressure of 125/88 mmHg and pulse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31F7C">
        <w:rPr>
          <w:rFonts w:asciiTheme="majorBidi" w:hAnsiTheme="majorBidi" w:cstheme="majorBidi"/>
          <w:sz w:val="24"/>
          <w:szCs w:val="24"/>
        </w:rPr>
        <w:t>rate of 96/min. There is marked left loin tenderness, but the rest of the abdomen is non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31F7C">
        <w:rPr>
          <w:rFonts w:asciiTheme="majorBidi" w:hAnsiTheme="majorBidi" w:cstheme="majorBidi"/>
          <w:sz w:val="24"/>
          <w:szCs w:val="24"/>
        </w:rPr>
        <w:t>tender.</w:t>
      </w:r>
      <w:r w:rsidRPr="00431F7C">
        <w:rPr>
          <w:rFonts w:asciiTheme="majorBidi" w:hAnsiTheme="majorBidi" w:cstheme="majorBidi"/>
          <w:sz w:val="24"/>
          <w:szCs w:val="24"/>
        </w:rPr>
        <w:t xml:space="preserve"> </w:t>
      </w:r>
      <w:r w:rsidRPr="00431F7C">
        <w:rPr>
          <w:rFonts w:asciiTheme="majorBidi" w:hAnsiTheme="majorBidi" w:cstheme="majorBidi"/>
          <w:sz w:val="24"/>
          <w:szCs w:val="24"/>
        </w:rPr>
        <w:t>Heart sounds are normal and the chest is clear.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5"/>
        <w:gridCol w:w="3197"/>
      </w:tblGrid>
      <w:tr w:rsidR="00492BC9" w:rsidTr="00B95CCE">
        <w:trPr>
          <w:trHeight w:val="570"/>
        </w:trPr>
        <w:tc>
          <w:tcPr>
            <w:tcW w:w="8522" w:type="dxa"/>
            <w:gridSpan w:val="2"/>
          </w:tcPr>
          <w:p w:rsidR="00492BC9" w:rsidRDefault="00492BC9" w:rsidP="00492B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92BC9" w:rsidRDefault="00492BC9" w:rsidP="00492B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INVESTIGATIONS</w:t>
            </w:r>
          </w:p>
          <w:p w:rsidR="00492BC9" w:rsidRDefault="00492BC9" w:rsidP="00492B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5EF9" w:rsidTr="00492BC9">
        <w:trPr>
          <w:trHeight w:val="264"/>
        </w:trPr>
        <w:tc>
          <w:tcPr>
            <w:tcW w:w="5325" w:type="dxa"/>
          </w:tcPr>
          <w:p w:rsidR="004A5EF9" w:rsidRPr="00492BC9" w:rsidRDefault="00492BC9" w:rsidP="00492B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492B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esults</w:t>
            </w:r>
          </w:p>
        </w:tc>
        <w:tc>
          <w:tcPr>
            <w:tcW w:w="3197" w:type="dxa"/>
          </w:tcPr>
          <w:p w:rsidR="004A5EF9" w:rsidRPr="00492BC9" w:rsidRDefault="004A5EF9" w:rsidP="00492BC9">
            <w:pPr>
              <w:ind w:left="79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2B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Normal</w:t>
            </w:r>
          </w:p>
          <w:p w:rsidR="00492BC9" w:rsidRPr="004A5EF9" w:rsidRDefault="00492BC9" w:rsidP="00492BC9">
            <w:pPr>
              <w:ind w:left="79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2BC9" w:rsidTr="00E36FF3">
        <w:trPr>
          <w:trHeight w:val="4282"/>
        </w:trPr>
        <w:tc>
          <w:tcPr>
            <w:tcW w:w="5325" w:type="dxa"/>
          </w:tcPr>
          <w:p w:rsidR="00492BC9" w:rsidRDefault="00492BC9" w:rsidP="004A5E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Haemoglobin 12.6 g/</w:t>
            </w:r>
            <w:proofErr w:type="spellStart"/>
            <w:r w:rsidRPr="004A5EF9"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</w:p>
          <w:p w:rsidR="00492BC9" w:rsidRDefault="00492BC9" w:rsidP="004A5E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White cell count 12.8 × 109/L</w:t>
            </w:r>
          </w:p>
          <w:p w:rsidR="00492BC9" w:rsidRDefault="00492BC9" w:rsidP="004A5E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Platelets 254 × 109/L</w:t>
            </w:r>
          </w:p>
          <w:p w:rsidR="00492BC9" w:rsidRDefault="00492BC9" w:rsidP="004A5E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 xml:space="preserve">Sodium 141 </w:t>
            </w:r>
            <w:proofErr w:type="spellStart"/>
            <w:r w:rsidRPr="004A5EF9">
              <w:rPr>
                <w:rFonts w:asciiTheme="majorBidi" w:hAnsiTheme="majorBidi" w:cstheme="majorBidi"/>
                <w:sz w:val="24"/>
                <w:szCs w:val="24"/>
              </w:rPr>
              <w:t>mmol</w:t>
            </w:r>
            <w:proofErr w:type="spellEnd"/>
            <w:r w:rsidRPr="004A5EF9">
              <w:rPr>
                <w:rFonts w:asciiTheme="majorBidi" w:hAnsiTheme="majorBidi" w:cstheme="majorBidi"/>
                <w:sz w:val="24"/>
                <w:szCs w:val="24"/>
              </w:rPr>
              <w:t>/L</w:t>
            </w:r>
          </w:p>
          <w:p w:rsidR="00492BC9" w:rsidRDefault="00492BC9" w:rsidP="004A5E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 xml:space="preserve">Potassium 4.2 </w:t>
            </w:r>
            <w:proofErr w:type="spellStart"/>
            <w:r w:rsidRPr="004A5EF9">
              <w:rPr>
                <w:rFonts w:asciiTheme="majorBidi" w:hAnsiTheme="majorBidi" w:cstheme="majorBidi"/>
                <w:sz w:val="24"/>
                <w:szCs w:val="24"/>
              </w:rPr>
              <w:t>mmol</w:t>
            </w:r>
            <w:proofErr w:type="spellEnd"/>
            <w:r w:rsidRPr="004A5EF9">
              <w:rPr>
                <w:rFonts w:asciiTheme="majorBidi" w:hAnsiTheme="majorBidi" w:cstheme="majorBidi"/>
                <w:sz w:val="24"/>
                <w:szCs w:val="24"/>
              </w:rPr>
              <w:t>/L</w:t>
            </w:r>
          </w:p>
          <w:p w:rsidR="00492BC9" w:rsidRDefault="00492BC9" w:rsidP="004A5E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 xml:space="preserve">Urea 5.0 </w:t>
            </w:r>
            <w:proofErr w:type="spellStart"/>
            <w:r w:rsidRPr="004A5EF9">
              <w:rPr>
                <w:rFonts w:asciiTheme="majorBidi" w:hAnsiTheme="majorBidi" w:cstheme="majorBidi"/>
                <w:sz w:val="24"/>
                <w:szCs w:val="24"/>
              </w:rPr>
              <w:t>mmol</w:t>
            </w:r>
            <w:proofErr w:type="spellEnd"/>
            <w:r w:rsidRPr="004A5EF9">
              <w:rPr>
                <w:rFonts w:asciiTheme="majorBidi" w:hAnsiTheme="majorBidi" w:cstheme="majorBidi"/>
                <w:sz w:val="24"/>
                <w:szCs w:val="24"/>
              </w:rPr>
              <w:t>/L</w:t>
            </w:r>
          </w:p>
          <w:p w:rsidR="00492BC9" w:rsidRDefault="00492BC9" w:rsidP="004A5E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Creatinine 62 µ</w:t>
            </w:r>
            <w:proofErr w:type="spellStart"/>
            <w:r w:rsidRPr="004A5EF9">
              <w:rPr>
                <w:rFonts w:asciiTheme="majorBidi" w:hAnsiTheme="majorBidi" w:cstheme="majorBidi"/>
                <w:sz w:val="24"/>
                <w:szCs w:val="24"/>
              </w:rPr>
              <w:t>mol</w:t>
            </w:r>
            <w:proofErr w:type="spellEnd"/>
            <w:r w:rsidRPr="004A5EF9">
              <w:rPr>
                <w:rFonts w:asciiTheme="majorBidi" w:hAnsiTheme="majorBidi" w:cstheme="majorBidi"/>
                <w:sz w:val="24"/>
                <w:szCs w:val="24"/>
              </w:rPr>
              <w:t>/L</w:t>
            </w:r>
          </w:p>
          <w:p w:rsidR="00492BC9" w:rsidRPr="004A5EF9" w:rsidRDefault="00492BC9" w:rsidP="004A5E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Urinalysis:</w:t>
            </w:r>
          </w:p>
          <w:p w:rsidR="00492BC9" w:rsidRPr="004A5EF9" w:rsidRDefault="00492BC9" w:rsidP="004A5E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Protein: negative</w:t>
            </w:r>
          </w:p>
          <w:p w:rsidR="00492BC9" w:rsidRPr="004A5EF9" w:rsidRDefault="00492BC9" w:rsidP="004A5E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Nitrites: negative</w:t>
            </w:r>
          </w:p>
          <w:p w:rsidR="00492BC9" w:rsidRPr="004A5EF9" w:rsidRDefault="00492BC9" w:rsidP="004A5E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Leucocytes: +1</w:t>
            </w:r>
          </w:p>
          <w:p w:rsidR="00492BC9" w:rsidRPr="004A5EF9" w:rsidRDefault="00492BC9" w:rsidP="004A5E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Blood: +4</w:t>
            </w:r>
          </w:p>
          <w:p w:rsidR="00492BC9" w:rsidRPr="004A5EF9" w:rsidRDefault="00492BC9" w:rsidP="004A5E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Glucose: negative</w:t>
            </w:r>
          </w:p>
          <w:p w:rsidR="00492BC9" w:rsidRDefault="00492BC9" w:rsidP="00E36FF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Human chorionic gonadotropin: negative</w:t>
            </w:r>
          </w:p>
        </w:tc>
        <w:tc>
          <w:tcPr>
            <w:tcW w:w="3197" w:type="dxa"/>
          </w:tcPr>
          <w:p w:rsidR="00492BC9" w:rsidRPr="004A5EF9" w:rsidRDefault="00492BC9" w:rsidP="004A5EF9">
            <w:pPr>
              <w:ind w:left="792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92BC9" w:rsidRPr="004A5EF9" w:rsidRDefault="00492BC9" w:rsidP="004A5EF9">
            <w:pPr>
              <w:ind w:left="522"/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11.5–16.0 g/</w:t>
            </w:r>
            <w:proofErr w:type="spellStart"/>
            <w:r w:rsidRPr="004A5EF9"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</w:p>
          <w:p w:rsidR="00492BC9" w:rsidRPr="004A5EF9" w:rsidRDefault="00492BC9" w:rsidP="004A5EF9">
            <w:pPr>
              <w:ind w:left="507"/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4.0–11.0 × 109/L</w:t>
            </w:r>
          </w:p>
          <w:p w:rsidR="00492BC9" w:rsidRPr="004A5EF9" w:rsidRDefault="00492BC9" w:rsidP="004A5EF9">
            <w:pPr>
              <w:ind w:left="462"/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150–400 × 109/L</w:t>
            </w:r>
          </w:p>
          <w:p w:rsidR="00492BC9" w:rsidRPr="004A5EF9" w:rsidRDefault="00492BC9" w:rsidP="004A5EF9">
            <w:pPr>
              <w:ind w:left="462"/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 xml:space="preserve">135–145 </w:t>
            </w:r>
            <w:proofErr w:type="spellStart"/>
            <w:r w:rsidRPr="004A5EF9">
              <w:rPr>
                <w:rFonts w:asciiTheme="majorBidi" w:hAnsiTheme="majorBidi" w:cstheme="majorBidi"/>
                <w:sz w:val="24"/>
                <w:szCs w:val="24"/>
              </w:rPr>
              <w:t>mmol</w:t>
            </w:r>
            <w:proofErr w:type="spellEnd"/>
            <w:r w:rsidRPr="004A5EF9">
              <w:rPr>
                <w:rFonts w:asciiTheme="majorBidi" w:hAnsiTheme="majorBidi" w:cstheme="majorBidi"/>
                <w:sz w:val="24"/>
                <w:szCs w:val="24"/>
              </w:rPr>
              <w:t>/L</w:t>
            </w:r>
          </w:p>
          <w:p w:rsidR="00492BC9" w:rsidRPr="004A5EF9" w:rsidRDefault="00492BC9" w:rsidP="004A5EF9">
            <w:pPr>
              <w:ind w:left="462"/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 xml:space="preserve">3.5–5.0 </w:t>
            </w:r>
            <w:proofErr w:type="spellStart"/>
            <w:r w:rsidRPr="004A5EF9">
              <w:rPr>
                <w:rFonts w:asciiTheme="majorBidi" w:hAnsiTheme="majorBidi" w:cstheme="majorBidi"/>
                <w:sz w:val="24"/>
                <w:szCs w:val="24"/>
              </w:rPr>
              <w:t>mmol</w:t>
            </w:r>
            <w:proofErr w:type="spellEnd"/>
            <w:r w:rsidRPr="004A5EF9">
              <w:rPr>
                <w:rFonts w:asciiTheme="majorBidi" w:hAnsiTheme="majorBidi" w:cstheme="majorBidi"/>
                <w:sz w:val="24"/>
                <w:szCs w:val="24"/>
              </w:rPr>
              <w:t>/L</w:t>
            </w:r>
          </w:p>
          <w:p w:rsidR="00492BC9" w:rsidRPr="004A5EF9" w:rsidRDefault="00492BC9" w:rsidP="004A5EF9">
            <w:pPr>
              <w:ind w:left="477"/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 xml:space="preserve">2.5–6.7 </w:t>
            </w:r>
            <w:proofErr w:type="spellStart"/>
            <w:r w:rsidRPr="004A5EF9">
              <w:rPr>
                <w:rFonts w:asciiTheme="majorBidi" w:hAnsiTheme="majorBidi" w:cstheme="majorBidi"/>
                <w:sz w:val="24"/>
                <w:szCs w:val="24"/>
              </w:rPr>
              <w:t>mmol</w:t>
            </w:r>
            <w:proofErr w:type="spellEnd"/>
            <w:r w:rsidRPr="004A5EF9">
              <w:rPr>
                <w:rFonts w:asciiTheme="majorBidi" w:hAnsiTheme="majorBidi" w:cstheme="majorBidi"/>
                <w:sz w:val="24"/>
                <w:szCs w:val="24"/>
              </w:rPr>
              <w:t>/L</w:t>
            </w:r>
          </w:p>
          <w:p w:rsidR="00492BC9" w:rsidRPr="004A5EF9" w:rsidRDefault="00492BC9" w:rsidP="004A5EF9">
            <w:pPr>
              <w:ind w:left="477"/>
              <w:rPr>
                <w:rFonts w:asciiTheme="majorBidi" w:hAnsiTheme="majorBidi" w:cstheme="majorBidi"/>
                <w:sz w:val="24"/>
                <w:szCs w:val="24"/>
              </w:rPr>
            </w:pPr>
            <w:r w:rsidRPr="004A5EF9">
              <w:rPr>
                <w:rFonts w:asciiTheme="majorBidi" w:hAnsiTheme="majorBidi" w:cstheme="majorBidi"/>
                <w:sz w:val="24"/>
                <w:szCs w:val="24"/>
              </w:rPr>
              <w:t>44–80 µ</w:t>
            </w:r>
            <w:proofErr w:type="spellStart"/>
            <w:r w:rsidRPr="004A5EF9">
              <w:rPr>
                <w:rFonts w:asciiTheme="majorBidi" w:hAnsiTheme="majorBidi" w:cstheme="majorBidi"/>
                <w:sz w:val="24"/>
                <w:szCs w:val="24"/>
              </w:rPr>
              <w:t>mol</w:t>
            </w:r>
            <w:proofErr w:type="spellEnd"/>
            <w:r w:rsidRPr="004A5EF9">
              <w:rPr>
                <w:rFonts w:asciiTheme="majorBidi" w:hAnsiTheme="majorBidi" w:cstheme="majorBidi"/>
                <w:sz w:val="24"/>
                <w:szCs w:val="24"/>
              </w:rPr>
              <w:t>/L</w:t>
            </w:r>
          </w:p>
        </w:tc>
      </w:tr>
    </w:tbl>
    <w:p w:rsidR="004A5EF9" w:rsidRDefault="004A5EF9" w:rsidP="00431F7C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7727B" w:rsidRPr="0077727B" w:rsidRDefault="0077727B" w:rsidP="0077727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7727B">
        <w:rPr>
          <w:rFonts w:asciiTheme="majorBidi" w:hAnsiTheme="majorBidi" w:cstheme="majorBidi"/>
          <w:b/>
          <w:bCs/>
          <w:sz w:val="24"/>
          <w:szCs w:val="24"/>
        </w:rPr>
        <w:t>Questions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77727B" w:rsidRPr="0077727B" w:rsidRDefault="0077727B" w:rsidP="0077727B">
      <w:pPr>
        <w:spacing w:after="0"/>
        <w:rPr>
          <w:rFonts w:asciiTheme="majorBidi" w:hAnsiTheme="majorBidi" w:cstheme="majorBidi"/>
          <w:sz w:val="24"/>
          <w:szCs w:val="24"/>
        </w:rPr>
      </w:pPr>
      <w:r w:rsidRPr="0077727B">
        <w:rPr>
          <w:rFonts w:asciiTheme="majorBidi" w:hAnsiTheme="majorBidi" w:cstheme="majorBidi"/>
          <w:sz w:val="24"/>
          <w:szCs w:val="24"/>
        </w:rPr>
        <w:t>• What is the likely diagnosis?</w:t>
      </w:r>
    </w:p>
    <w:p w:rsidR="0077727B" w:rsidRPr="0077727B" w:rsidRDefault="0077727B" w:rsidP="0077727B">
      <w:pPr>
        <w:spacing w:after="0"/>
        <w:rPr>
          <w:rFonts w:asciiTheme="majorBidi" w:hAnsiTheme="majorBidi" w:cstheme="majorBidi"/>
          <w:sz w:val="24"/>
          <w:szCs w:val="24"/>
        </w:rPr>
      </w:pPr>
      <w:r w:rsidRPr="0077727B">
        <w:rPr>
          <w:rFonts w:asciiTheme="majorBidi" w:hAnsiTheme="majorBidi" w:cstheme="majorBidi"/>
          <w:sz w:val="24"/>
          <w:szCs w:val="24"/>
        </w:rPr>
        <w:t>• What investigation would you like to do to confirm your diagnosis?</w:t>
      </w:r>
    </w:p>
    <w:p w:rsidR="0077727B" w:rsidRPr="0077727B" w:rsidRDefault="0077727B" w:rsidP="0077727B">
      <w:pPr>
        <w:spacing w:after="0"/>
        <w:rPr>
          <w:rFonts w:asciiTheme="majorBidi" w:hAnsiTheme="majorBidi" w:cstheme="majorBidi"/>
          <w:sz w:val="24"/>
          <w:szCs w:val="24"/>
        </w:rPr>
      </w:pPr>
      <w:r w:rsidRPr="0077727B">
        <w:rPr>
          <w:rFonts w:asciiTheme="majorBidi" w:hAnsiTheme="majorBidi" w:cstheme="majorBidi"/>
          <w:sz w:val="24"/>
          <w:szCs w:val="24"/>
        </w:rPr>
        <w:t>• What are the indications for admitting this patient?</w:t>
      </w:r>
    </w:p>
    <w:p w:rsidR="0077727B" w:rsidRDefault="0077727B" w:rsidP="007772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7727B">
        <w:rPr>
          <w:rFonts w:asciiTheme="majorBidi" w:hAnsiTheme="majorBidi" w:cstheme="majorBidi"/>
          <w:sz w:val="24"/>
          <w:szCs w:val="24"/>
        </w:rPr>
        <w:t>• What is the initial management?</w:t>
      </w:r>
    </w:p>
    <w:p w:rsidR="0077727B" w:rsidRDefault="0077727B" w:rsidP="007772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7727B" w:rsidRDefault="0077727B" w:rsidP="007772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7727B">
        <w:rPr>
          <w:rFonts w:asciiTheme="majorBidi" w:hAnsiTheme="majorBidi" w:cstheme="majorBidi"/>
          <w:sz w:val="24"/>
          <w:szCs w:val="24"/>
        </w:rPr>
        <w:t>The combination of left loin pain and microscopic haematuria, in the absence of abdominal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7727B">
        <w:rPr>
          <w:rFonts w:asciiTheme="majorBidi" w:hAnsiTheme="majorBidi" w:cstheme="majorBidi"/>
          <w:sz w:val="24"/>
          <w:szCs w:val="24"/>
        </w:rPr>
        <w:t>peritonism</w:t>
      </w:r>
      <w:proofErr w:type="spellEnd"/>
      <w:r w:rsidRPr="0077727B">
        <w:rPr>
          <w:rFonts w:asciiTheme="majorBidi" w:hAnsiTheme="majorBidi" w:cstheme="majorBidi"/>
          <w:sz w:val="24"/>
          <w:szCs w:val="24"/>
        </w:rPr>
        <w:t>, suggests a diagnosis of renal/ureteric colic. In 10–15 per cent of cases of renal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>colic, the dipstick will be negative for blood. The differential diagnosis includes pyelonephritis,</w:t>
      </w:r>
      <w:r w:rsidRPr="0077727B"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>diverticulitis, bowel obstruction, peptic ulcer disease and gynaecological conditions such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 xml:space="preserve">as ectopic pregnancy, </w:t>
      </w:r>
      <w:proofErr w:type="spellStart"/>
      <w:r w:rsidRPr="0077727B">
        <w:rPr>
          <w:rFonts w:asciiTheme="majorBidi" w:hAnsiTheme="majorBidi" w:cstheme="majorBidi"/>
          <w:sz w:val="24"/>
          <w:szCs w:val="24"/>
        </w:rPr>
        <w:t>torted</w:t>
      </w:r>
      <w:proofErr w:type="spellEnd"/>
      <w:r w:rsidRPr="0077727B">
        <w:rPr>
          <w:rFonts w:asciiTheme="majorBidi" w:hAnsiTheme="majorBidi" w:cstheme="majorBidi"/>
          <w:sz w:val="24"/>
          <w:szCs w:val="24"/>
        </w:rPr>
        <w:t xml:space="preserve"> ovarian cyst or </w:t>
      </w:r>
      <w:proofErr w:type="spellStart"/>
      <w:r w:rsidRPr="0077727B">
        <w:rPr>
          <w:rFonts w:asciiTheme="majorBidi" w:hAnsiTheme="majorBidi" w:cstheme="majorBidi"/>
          <w:sz w:val="24"/>
          <w:szCs w:val="24"/>
        </w:rPr>
        <w:t>tubo</w:t>
      </w:r>
      <w:proofErr w:type="spellEnd"/>
      <w:r w:rsidRPr="0077727B">
        <w:rPr>
          <w:rFonts w:asciiTheme="majorBidi" w:hAnsiTheme="majorBidi" w:cstheme="majorBidi"/>
          <w:sz w:val="24"/>
          <w:szCs w:val="24"/>
        </w:rPr>
        <w:t>-ovarian abscess. In addition to the above,</w:t>
      </w:r>
      <w:r w:rsidRPr="0077727B"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>on the right side, appendicitis and biliary colic should also be considered. In an older patient,</w:t>
      </w:r>
      <w:r w:rsidRPr="0077727B"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 xml:space="preserve">it is important to exclude a </w:t>
      </w:r>
      <w:r w:rsidRPr="0077727B">
        <w:rPr>
          <w:rFonts w:asciiTheme="majorBidi" w:hAnsiTheme="majorBidi" w:cstheme="majorBidi"/>
          <w:sz w:val="24"/>
          <w:szCs w:val="24"/>
        </w:rPr>
        <w:lastRenderedPageBreak/>
        <w:t>ruptured abdominal aortic aneurysm.</w:t>
      </w:r>
      <w:r w:rsidRPr="0077727B"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>The pain of renal colic is caused by the distension of the ureter or collecting system from 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>obstructing calculus. The pain may radiate from loin to groin and to the tip of the penis 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>males and to the labia in females (the latter being typical in males and females, respectively,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 xml:space="preserve">a stone at the </w:t>
      </w:r>
      <w:proofErr w:type="spellStart"/>
      <w:r w:rsidRPr="0077727B">
        <w:rPr>
          <w:rFonts w:asciiTheme="majorBidi" w:hAnsiTheme="majorBidi" w:cstheme="majorBidi"/>
          <w:sz w:val="24"/>
          <w:szCs w:val="24"/>
        </w:rPr>
        <w:t>vesico-uretric</w:t>
      </w:r>
      <w:proofErr w:type="spellEnd"/>
      <w:r w:rsidRPr="0077727B">
        <w:rPr>
          <w:rFonts w:asciiTheme="majorBidi" w:hAnsiTheme="majorBidi" w:cstheme="majorBidi"/>
          <w:sz w:val="24"/>
          <w:szCs w:val="24"/>
        </w:rPr>
        <w:t xml:space="preserve"> junction). Calculi may also irritate the bladder, causing urgency,</w:t>
      </w:r>
      <w:r w:rsidRPr="0077727B"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>frequency and strangury.</w:t>
      </w:r>
      <w:r w:rsidRPr="0077727B"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>The gold standard investigation in the work-up of renal colic is a non-contrast computerized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 xml:space="preserve">tomography (CT) KUB (kidneys, ureter, </w:t>
      </w:r>
      <w:r w:rsidRPr="0077727B">
        <w:rPr>
          <w:rFonts w:asciiTheme="majorBidi" w:hAnsiTheme="majorBidi" w:cstheme="majorBidi"/>
          <w:sz w:val="24"/>
          <w:szCs w:val="24"/>
        </w:rPr>
        <w:t>and bladder</w:t>
      </w:r>
      <w:r w:rsidRPr="0077727B">
        <w:rPr>
          <w:rFonts w:asciiTheme="majorBidi" w:hAnsiTheme="majorBidi" w:cstheme="majorBidi"/>
          <w:sz w:val="24"/>
          <w:szCs w:val="24"/>
        </w:rPr>
        <w:t>) scan. This has a sensitivity of 94–100 percent and specificity of 92–100 per cent. Advantages of CT KUB compared with more traditional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 xml:space="preserve">tests such as intravenous </w:t>
      </w:r>
      <w:proofErr w:type="spellStart"/>
      <w:r w:rsidRPr="0077727B">
        <w:rPr>
          <w:rFonts w:asciiTheme="majorBidi" w:hAnsiTheme="majorBidi" w:cstheme="majorBidi"/>
          <w:sz w:val="24"/>
          <w:szCs w:val="24"/>
        </w:rPr>
        <w:t>urogram</w:t>
      </w:r>
      <w:proofErr w:type="spellEnd"/>
      <w:r w:rsidRPr="0077727B">
        <w:rPr>
          <w:rFonts w:asciiTheme="majorBidi" w:hAnsiTheme="majorBidi" w:cstheme="majorBidi"/>
          <w:sz w:val="24"/>
          <w:szCs w:val="24"/>
        </w:rPr>
        <w:t xml:space="preserve"> include the possibility to diagnose other conditions,</w:t>
      </w:r>
      <w:r w:rsidRPr="0077727B"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>accuracy of stone measurement, quick test and does not require administration of intravenous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 xml:space="preserve">contrast and its potential pitfalls, e.g. allergy and </w:t>
      </w:r>
      <w:proofErr w:type="spellStart"/>
      <w:r w:rsidRPr="0077727B">
        <w:rPr>
          <w:rFonts w:asciiTheme="majorBidi" w:hAnsiTheme="majorBidi" w:cstheme="majorBidi"/>
          <w:sz w:val="24"/>
          <w:szCs w:val="24"/>
        </w:rPr>
        <w:t>chemotoxic</w:t>
      </w:r>
      <w:proofErr w:type="spellEnd"/>
      <w:r w:rsidRPr="0077727B">
        <w:rPr>
          <w:rFonts w:asciiTheme="majorBidi" w:hAnsiTheme="majorBidi" w:cstheme="majorBidi"/>
          <w:sz w:val="24"/>
          <w:szCs w:val="24"/>
        </w:rPr>
        <w:t xml:space="preserve"> reaction in patients with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>renal insufficiency. However, its use does involve a higher radiation dose.</w:t>
      </w:r>
    </w:p>
    <w:p w:rsidR="0077727B" w:rsidRPr="0077727B" w:rsidRDefault="0077727B" w:rsidP="007772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7727B" w:rsidRPr="0077727B" w:rsidRDefault="0077727B" w:rsidP="007772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7727B">
        <w:rPr>
          <w:rFonts w:asciiTheme="majorBidi" w:hAnsiTheme="majorBidi" w:cstheme="majorBidi"/>
          <w:sz w:val="24"/>
          <w:szCs w:val="24"/>
        </w:rPr>
        <w:t>Indications for admitting the patient include:</w:t>
      </w:r>
    </w:p>
    <w:p w:rsidR="0077727B" w:rsidRPr="0077727B" w:rsidRDefault="0077727B" w:rsidP="007772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7727B">
        <w:rPr>
          <w:rFonts w:asciiTheme="majorBidi" w:hAnsiTheme="majorBidi" w:cstheme="majorBidi"/>
          <w:sz w:val="24"/>
          <w:szCs w:val="24"/>
        </w:rPr>
        <w:t>• Pain not controlled with simple analgesia</w:t>
      </w:r>
    </w:p>
    <w:p w:rsidR="0077727B" w:rsidRPr="0077727B" w:rsidRDefault="0077727B" w:rsidP="007772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7727B">
        <w:rPr>
          <w:rFonts w:asciiTheme="majorBidi" w:hAnsiTheme="majorBidi" w:cstheme="majorBidi"/>
          <w:sz w:val="24"/>
          <w:szCs w:val="24"/>
        </w:rPr>
        <w:t>• Evidence of sepsis, e.g. pyrexia, raised white cell count or signs and symptoms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>septic shock</w:t>
      </w:r>
    </w:p>
    <w:p w:rsidR="0077727B" w:rsidRPr="0077727B" w:rsidRDefault="0077727B" w:rsidP="007772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7727B">
        <w:rPr>
          <w:rFonts w:asciiTheme="majorBidi" w:hAnsiTheme="majorBidi" w:cstheme="majorBidi"/>
          <w:sz w:val="24"/>
          <w:szCs w:val="24"/>
        </w:rPr>
        <w:t>• Obstructing calculi in a solitary kidney, or bilateral ureteric stones</w:t>
      </w:r>
    </w:p>
    <w:p w:rsidR="0077727B" w:rsidRPr="0077727B" w:rsidRDefault="0077727B" w:rsidP="007772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7727B">
        <w:rPr>
          <w:rFonts w:asciiTheme="majorBidi" w:hAnsiTheme="majorBidi" w:cstheme="majorBidi"/>
          <w:sz w:val="24"/>
          <w:szCs w:val="24"/>
        </w:rPr>
        <w:t>• Deranged renal function</w:t>
      </w:r>
    </w:p>
    <w:p w:rsidR="0078023D" w:rsidRDefault="0077727B" w:rsidP="007772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7727B">
        <w:rPr>
          <w:rFonts w:asciiTheme="majorBidi" w:hAnsiTheme="majorBidi" w:cstheme="majorBidi"/>
          <w:sz w:val="24"/>
          <w:szCs w:val="24"/>
        </w:rPr>
        <w:t>Renal drainage via percutaneous nephrostomy or retrograde ureteric stent insertion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7727B">
        <w:rPr>
          <w:rFonts w:asciiTheme="majorBidi" w:hAnsiTheme="majorBidi" w:cstheme="majorBidi"/>
          <w:sz w:val="24"/>
          <w:szCs w:val="24"/>
        </w:rPr>
        <w:t>required urgently in patients with sepsis and obstruction and is a urological emergency.</w:t>
      </w:r>
    </w:p>
    <w:p w:rsidR="0078023D" w:rsidRDefault="0078023D" w:rsidP="0078023D">
      <w:pPr>
        <w:rPr>
          <w:rFonts w:asciiTheme="majorBidi" w:hAnsiTheme="majorBidi" w:cstheme="majorBidi"/>
          <w:sz w:val="24"/>
          <w:szCs w:val="24"/>
        </w:rPr>
      </w:pPr>
    </w:p>
    <w:p w:rsidR="00365D4B" w:rsidRDefault="0078023D" w:rsidP="00365D4B">
      <w:pPr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4053CAC" wp14:editId="77F565E0">
            <wp:extent cx="3762375" cy="1724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1906" cy="1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D4B" w:rsidRPr="00365D4B" w:rsidRDefault="00365D4B" w:rsidP="00365D4B">
      <w:pPr>
        <w:jc w:val="both"/>
        <w:rPr>
          <w:rFonts w:asciiTheme="majorBidi" w:hAnsiTheme="majorBidi" w:cstheme="majorBidi"/>
          <w:sz w:val="24"/>
          <w:szCs w:val="24"/>
        </w:rPr>
      </w:pPr>
      <w:r w:rsidRPr="00365D4B">
        <w:rPr>
          <w:rFonts w:asciiTheme="majorBidi" w:hAnsiTheme="majorBidi" w:cstheme="majorBidi"/>
          <w:sz w:val="24"/>
          <w:szCs w:val="24"/>
        </w:rPr>
        <w:t>The analgesic of choice is rectal diclofenac, although in some cases opiates will be required.</w:t>
      </w:r>
      <w:r w:rsidRPr="00365D4B">
        <w:rPr>
          <w:rFonts w:asciiTheme="majorBidi" w:hAnsiTheme="majorBidi" w:cstheme="majorBidi"/>
          <w:sz w:val="24"/>
          <w:szCs w:val="24"/>
        </w:rPr>
        <w:t xml:space="preserve"> </w:t>
      </w:r>
      <w:r w:rsidRPr="00365D4B">
        <w:rPr>
          <w:rFonts w:asciiTheme="majorBidi" w:hAnsiTheme="majorBidi" w:cstheme="majorBidi"/>
          <w:sz w:val="24"/>
          <w:szCs w:val="24"/>
        </w:rPr>
        <w:t>Fluids should be given and in cases of suspected infection, antibiotics with good Gram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65D4B">
        <w:rPr>
          <w:rFonts w:asciiTheme="majorBidi" w:hAnsiTheme="majorBidi" w:cstheme="majorBidi"/>
          <w:sz w:val="24"/>
          <w:szCs w:val="24"/>
        </w:rPr>
        <w:t>negative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65D4B">
        <w:rPr>
          <w:rFonts w:asciiTheme="majorBidi" w:hAnsiTheme="majorBidi" w:cstheme="majorBidi"/>
          <w:sz w:val="24"/>
          <w:szCs w:val="24"/>
        </w:rPr>
        <w:t>cover administered.</w:t>
      </w:r>
      <w:r w:rsidRPr="00365D4B">
        <w:rPr>
          <w:rFonts w:asciiTheme="majorBidi" w:hAnsiTheme="majorBidi" w:cstheme="majorBidi"/>
          <w:sz w:val="24"/>
          <w:szCs w:val="24"/>
        </w:rPr>
        <w:t xml:space="preserve"> </w:t>
      </w:r>
      <w:r w:rsidRPr="00365D4B">
        <w:rPr>
          <w:rFonts w:asciiTheme="majorBidi" w:hAnsiTheme="majorBidi" w:cstheme="majorBidi"/>
          <w:sz w:val="24"/>
          <w:szCs w:val="24"/>
        </w:rPr>
        <w:t>The CT KUB in Figure 58.1 clearly demonstrated the offending urinary calculus, which is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65D4B">
        <w:rPr>
          <w:rFonts w:asciiTheme="majorBidi" w:hAnsiTheme="majorBidi" w:cstheme="majorBidi"/>
          <w:sz w:val="24"/>
          <w:szCs w:val="24"/>
        </w:rPr>
        <w:t>opacification seen in line with the ureter.</w:t>
      </w:r>
    </w:p>
    <w:p w:rsidR="00365D4B" w:rsidRPr="00365D4B" w:rsidRDefault="00365D4B" w:rsidP="00365D4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65D4B">
        <w:rPr>
          <w:rFonts w:asciiTheme="majorBidi" w:hAnsiTheme="majorBidi" w:cstheme="majorBidi"/>
          <w:b/>
          <w:bCs/>
          <w:sz w:val="24"/>
          <w:szCs w:val="24"/>
        </w:rPr>
        <w:t>KEY POINTS</w:t>
      </w:r>
    </w:p>
    <w:p w:rsidR="00365D4B" w:rsidRPr="00365D4B" w:rsidRDefault="00365D4B" w:rsidP="00365D4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65D4B">
        <w:rPr>
          <w:rFonts w:asciiTheme="majorBidi" w:hAnsiTheme="majorBidi" w:cstheme="majorBidi"/>
          <w:sz w:val="24"/>
          <w:szCs w:val="24"/>
        </w:rPr>
        <w:t>• Haematuria is present in 90 per cent of cases of renal colic.</w:t>
      </w:r>
    </w:p>
    <w:p w:rsidR="0077727B" w:rsidRPr="00365D4B" w:rsidRDefault="00365D4B" w:rsidP="00365D4B">
      <w:pPr>
        <w:spacing w:after="0"/>
        <w:rPr>
          <w:rFonts w:asciiTheme="majorBidi" w:hAnsiTheme="majorBidi" w:cstheme="majorBidi"/>
          <w:sz w:val="24"/>
          <w:szCs w:val="24"/>
        </w:rPr>
      </w:pPr>
      <w:r w:rsidRPr="00365D4B">
        <w:rPr>
          <w:rFonts w:asciiTheme="majorBidi" w:hAnsiTheme="majorBidi" w:cstheme="majorBidi"/>
          <w:sz w:val="24"/>
          <w:szCs w:val="24"/>
        </w:rPr>
        <w:t>• Sepsis and obstruction of the urinary system is a urological emergency and requires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65D4B">
        <w:rPr>
          <w:rFonts w:asciiTheme="majorBidi" w:hAnsiTheme="majorBidi" w:cstheme="majorBidi"/>
          <w:sz w:val="24"/>
          <w:szCs w:val="24"/>
        </w:rPr>
        <w:t>urgent renal drainage.</w:t>
      </w:r>
      <w:bookmarkStart w:id="0" w:name="_GoBack"/>
      <w:bookmarkEnd w:id="0"/>
    </w:p>
    <w:sectPr w:rsidR="0077727B" w:rsidRPr="00365D4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0A" w:rsidRDefault="00DE0E0A" w:rsidP="00431F7C">
      <w:pPr>
        <w:spacing w:after="0" w:line="240" w:lineRule="auto"/>
      </w:pPr>
      <w:r>
        <w:separator/>
      </w:r>
    </w:p>
  </w:endnote>
  <w:endnote w:type="continuationSeparator" w:id="0">
    <w:p w:rsidR="00DE0E0A" w:rsidRDefault="00DE0E0A" w:rsidP="0043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0A" w:rsidRDefault="00DE0E0A" w:rsidP="00431F7C">
      <w:pPr>
        <w:spacing w:after="0" w:line="240" w:lineRule="auto"/>
      </w:pPr>
      <w:r>
        <w:separator/>
      </w:r>
    </w:p>
  </w:footnote>
  <w:footnote w:type="continuationSeparator" w:id="0">
    <w:p w:rsidR="00DE0E0A" w:rsidRDefault="00DE0E0A" w:rsidP="0043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60" w:type="pct"/>
      <w:jc w:val="center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273"/>
    </w:tblGrid>
    <w:tr w:rsidR="00431F7C" w:rsidRPr="00431F7C" w:rsidTr="00431F7C">
      <w:trPr>
        <w:trHeight w:val="288"/>
        <w:jc w:val="center"/>
      </w:trPr>
      <w:tc>
        <w:tcPr>
          <w:tcW w:w="7273" w:type="dxa"/>
        </w:tcPr>
        <w:p w:rsidR="00431F7C" w:rsidRPr="00431F7C" w:rsidRDefault="00431F7C" w:rsidP="00431F7C">
          <w:pPr>
            <w:pStyle w:val="Header"/>
            <w:jc w:val="center"/>
            <w:rPr>
              <w:rFonts w:asciiTheme="majorBidi" w:eastAsiaTheme="majorEastAsia" w:hAnsiTheme="majorBidi" w:cstheme="majorBidi"/>
              <w:b/>
              <w:bCs/>
              <w:i/>
              <w:iCs/>
              <w:sz w:val="24"/>
              <w:szCs w:val="24"/>
            </w:rPr>
          </w:pPr>
          <w:sdt>
            <w:sdtPr>
              <w:rPr>
                <w:rFonts w:asciiTheme="majorBidi" w:eastAsiaTheme="majorEastAsia" w:hAnsiTheme="majorBidi" w:cstheme="majorBidi"/>
                <w:b/>
                <w:bCs/>
                <w:i/>
                <w:iCs/>
                <w:sz w:val="24"/>
                <w:szCs w:val="24"/>
              </w:rPr>
              <w:alias w:val="Title"/>
              <w:id w:val="77761602"/>
              <w:placeholder>
                <w:docPart w:val="F3BF9098EDBE4B329B46DE23FAAAB762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Pr="00431F7C">
                <w:rPr>
                  <w:rFonts w:asciiTheme="majorBidi" w:eastAsiaTheme="majorEastAsia" w:hAnsiTheme="majorBidi" w:cstheme="majorBidi"/>
                  <w:b/>
                  <w:bCs/>
                  <w:i/>
                  <w:iCs/>
                  <w:sz w:val="24"/>
                  <w:szCs w:val="24"/>
                </w:rPr>
                <w:t>Nephrolithiasis</w:t>
              </w:r>
            </w:sdtContent>
          </w:sdt>
        </w:p>
      </w:tc>
    </w:tr>
  </w:tbl>
  <w:p w:rsidR="00431F7C" w:rsidRDefault="00431F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5A"/>
    <w:rsid w:val="00180EC5"/>
    <w:rsid w:val="00365D4B"/>
    <w:rsid w:val="00431F7C"/>
    <w:rsid w:val="00492BC9"/>
    <w:rsid w:val="004A5EF9"/>
    <w:rsid w:val="0077727B"/>
    <w:rsid w:val="0078023D"/>
    <w:rsid w:val="008C175A"/>
    <w:rsid w:val="00DE0E0A"/>
    <w:rsid w:val="00E3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7C"/>
  </w:style>
  <w:style w:type="paragraph" w:styleId="Footer">
    <w:name w:val="footer"/>
    <w:basedOn w:val="Normal"/>
    <w:link w:val="FooterChar"/>
    <w:uiPriority w:val="99"/>
    <w:unhideWhenUsed/>
    <w:rsid w:val="00431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F7C"/>
  </w:style>
  <w:style w:type="paragraph" w:styleId="BalloonText">
    <w:name w:val="Balloon Text"/>
    <w:basedOn w:val="Normal"/>
    <w:link w:val="BalloonTextChar"/>
    <w:uiPriority w:val="99"/>
    <w:semiHidden/>
    <w:unhideWhenUsed/>
    <w:rsid w:val="0043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7C"/>
  </w:style>
  <w:style w:type="paragraph" w:styleId="Footer">
    <w:name w:val="footer"/>
    <w:basedOn w:val="Normal"/>
    <w:link w:val="FooterChar"/>
    <w:uiPriority w:val="99"/>
    <w:unhideWhenUsed/>
    <w:rsid w:val="00431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F7C"/>
  </w:style>
  <w:style w:type="paragraph" w:styleId="BalloonText">
    <w:name w:val="Balloon Text"/>
    <w:basedOn w:val="Normal"/>
    <w:link w:val="BalloonTextChar"/>
    <w:uiPriority w:val="99"/>
    <w:semiHidden/>
    <w:unhideWhenUsed/>
    <w:rsid w:val="0043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BF9098EDBE4B329B46DE23FAAAB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9C2E-42E9-44C0-A150-EE2B6277DDC9}"/>
      </w:docPartPr>
      <w:docPartBody>
        <w:p w:rsidR="00000000" w:rsidRDefault="007D7082" w:rsidP="007D7082">
          <w:pPr>
            <w:pStyle w:val="F3BF9098EDBE4B329B46DE23FAAAB76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82"/>
    <w:rsid w:val="007D7082"/>
    <w:rsid w:val="0081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BFC7F3439642E08AC4B535B4912161">
    <w:name w:val="C0BFC7F3439642E08AC4B535B4912161"/>
    <w:rsid w:val="007D7082"/>
  </w:style>
  <w:style w:type="paragraph" w:customStyle="1" w:styleId="121BE45DABF747DA81ABD723A81334C9">
    <w:name w:val="121BE45DABF747DA81ABD723A81334C9"/>
    <w:rsid w:val="007D7082"/>
  </w:style>
  <w:style w:type="paragraph" w:customStyle="1" w:styleId="F3BF9098EDBE4B329B46DE23FAAAB762">
    <w:name w:val="F3BF9098EDBE4B329B46DE23FAAAB762"/>
    <w:rsid w:val="007D70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BFC7F3439642E08AC4B535B4912161">
    <w:name w:val="C0BFC7F3439642E08AC4B535B4912161"/>
    <w:rsid w:val="007D7082"/>
  </w:style>
  <w:style w:type="paragraph" w:customStyle="1" w:styleId="121BE45DABF747DA81ABD723A81334C9">
    <w:name w:val="121BE45DABF747DA81ABD723A81334C9"/>
    <w:rsid w:val="007D7082"/>
  </w:style>
  <w:style w:type="paragraph" w:customStyle="1" w:styleId="F3BF9098EDBE4B329B46DE23FAAAB762">
    <w:name w:val="F3BF9098EDBE4B329B46DE23FAAAB762"/>
    <w:rsid w:val="007D7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613</Words>
  <Characters>3496</Characters>
  <Application>Microsoft Office Word</Application>
  <DocSecurity>0</DocSecurity>
  <Lines>29</Lines>
  <Paragraphs>8</Paragraphs>
  <ScaleCrop>false</ScaleCrop>
  <Company>Enjoy My Fine Releases.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Nephrolithiasis</dc:title>
  <dc:subject/>
  <dc:creator>DR.Ahmed Saker 2O11</dc:creator>
  <cp:keywords/>
  <dc:description/>
  <cp:lastModifiedBy>DR.Ahmed Saker 2O11</cp:lastModifiedBy>
  <cp:revision>8</cp:revision>
  <dcterms:created xsi:type="dcterms:W3CDTF">2018-04-21T05:47:00Z</dcterms:created>
  <dcterms:modified xsi:type="dcterms:W3CDTF">2018-04-21T05:59:00Z</dcterms:modified>
</cp:coreProperties>
</file>