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32" w:rsidRPr="00C249C9" w:rsidRDefault="00932332" w:rsidP="00932332">
      <w:pPr>
        <w:pStyle w:val="Heading1"/>
        <w:spacing w:before="0" w:beforeAutospacing="0" w:after="161" w:afterAutospacing="0" w:line="276" w:lineRule="auto"/>
        <w:rPr>
          <w:rFonts w:asciiTheme="majorBidi" w:hAnsiTheme="majorBidi" w:cstheme="majorBidi"/>
          <w:b w:val="0"/>
          <w:bCs w:val="0"/>
          <w:color w:val="FF0000"/>
          <w:sz w:val="32"/>
          <w:szCs w:val="32"/>
        </w:rPr>
      </w:pPr>
      <w:r w:rsidRPr="00C249C9">
        <w:rPr>
          <w:rFonts w:asciiTheme="majorBidi" w:hAnsiTheme="majorBidi" w:cstheme="majorBidi"/>
          <w:b w:val="0"/>
          <w:bCs w:val="0"/>
          <w:color w:val="FF0000"/>
          <w:sz w:val="32"/>
          <w:szCs w:val="32"/>
        </w:rPr>
        <w:t>Atrial Fibrillation (AF) or Flutter – Recent Onset</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Requiring admission, or onset during admission for other problem e.g. post-surgery.</w:t>
      </w:r>
    </w:p>
    <w:p w:rsidR="00932332" w:rsidRPr="00C249C9" w:rsidRDefault="00932332" w:rsidP="00932332">
      <w:pPr>
        <w:numPr>
          <w:ilvl w:val="1"/>
          <w:numId w:val="1"/>
        </w:numPr>
        <w:spacing w:before="45" w:after="45" w:line="276" w:lineRule="auto"/>
        <w:ind w:left="375"/>
        <w:rPr>
          <w:rFonts w:asciiTheme="majorBidi" w:hAnsiTheme="majorBidi" w:cstheme="majorBidi"/>
          <w:color w:val="505051"/>
          <w:sz w:val="24"/>
          <w:szCs w:val="24"/>
        </w:rPr>
      </w:pPr>
      <w:proofErr w:type="spellStart"/>
      <w:r w:rsidRPr="00C249C9">
        <w:rPr>
          <w:rFonts w:asciiTheme="majorBidi" w:hAnsiTheme="majorBidi" w:cstheme="majorBidi"/>
          <w:color w:val="505051"/>
          <w:sz w:val="24"/>
          <w:szCs w:val="24"/>
        </w:rPr>
        <w:t>Haemodynamic</w:t>
      </w:r>
      <w:proofErr w:type="spellEnd"/>
      <w:r w:rsidRPr="00C249C9">
        <w:rPr>
          <w:rFonts w:asciiTheme="majorBidi" w:hAnsiTheme="majorBidi" w:cstheme="majorBidi"/>
          <w:color w:val="505051"/>
          <w:sz w:val="24"/>
          <w:szCs w:val="24"/>
        </w:rPr>
        <w:t xml:space="preserve"> compromise is an indication for rapid DC cardioversion - always use sedation or general </w:t>
      </w:r>
      <w:proofErr w:type="spellStart"/>
      <w:r w:rsidRPr="00C249C9">
        <w:rPr>
          <w:rFonts w:asciiTheme="majorBidi" w:hAnsiTheme="majorBidi" w:cstheme="majorBidi"/>
          <w:color w:val="505051"/>
          <w:sz w:val="24"/>
          <w:szCs w:val="24"/>
        </w:rPr>
        <w:t>anaesthesia</w:t>
      </w:r>
      <w:proofErr w:type="spellEnd"/>
      <w:r w:rsidRPr="00C249C9">
        <w:rPr>
          <w:rFonts w:asciiTheme="majorBidi" w:hAnsiTheme="majorBidi" w:cstheme="majorBidi"/>
          <w:color w:val="505051"/>
          <w:sz w:val="24"/>
          <w:szCs w:val="24"/>
        </w:rPr>
        <w:t>.</w:t>
      </w:r>
    </w:p>
    <w:p w:rsidR="00932332" w:rsidRPr="00C249C9" w:rsidRDefault="00932332" w:rsidP="00932332">
      <w:pPr>
        <w:numPr>
          <w:ilvl w:val="1"/>
          <w:numId w:val="1"/>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If the patient is </w:t>
      </w:r>
      <w:proofErr w:type="spellStart"/>
      <w:r w:rsidRPr="00C249C9">
        <w:rPr>
          <w:rFonts w:asciiTheme="majorBidi" w:hAnsiTheme="majorBidi" w:cstheme="majorBidi"/>
          <w:color w:val="505051"/>
          <w:sz w:val="24"/>
          <w:szCs w:val="24"/>
        </w:rPr>
        <w:t>haemodynamically</w:t>
      </w:r>
      <w:proofErr w:type="spellEnd"/>
      <w:r w:rsidRPr="00C249C9">
        <w:rPr>
          <w:rFonts w:asciiTheme="majorBidi" w:hAnsiTheme="majorBidi" w:cstheme="majorBidi"/>
          <w:color w:val="505051"/>
          <w:sz w:val="24"/>
          <w:szCs w:val="24"/>
        </w:rPr>
        <w:t xml:space="preserve"> stable (no reduced conscious level, systolic BP &gt;90mmHg, no chest pain and no heart failure) and onset &lt;48 hours, consider chemical cardioversion.</w:t>
      </w:r>
    </w:p>
    <w:p w:rsidR="00932332" w:rsidRPr="00C249C9" w:rsidRDefault="00932332" w:rsidP="00932332">
      <w:pPr>
        <w:pStyle w:val="Heading3"/>
        <w:shd w:val="clear" w:color="auto" w:fill="D5E4FE"/>
        <w:spacing w:before="0"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Chemical cardioversion</w:t>
      </w:r>
    </w:p>
    <w:p w:rsidR="00932332" w:rsidRPr="00C249C9"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Options include:</w:t>
      </w:r>
    </w:p>
    <w:p w:rsidR="00932332" w:rsidRPr="00C249C9"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proofErr w:type="spellStart"/>
      <w:r w:rsidRPr="00C249C9">
        <w:rPr>
          <w:rStyle w:val="Strong"/>
          <w:rFonts w:asciiTheme="majorBidi" w:eastAsiaTheme="majorEastAsia" w:hAnsiTheme="majorBidi" w:cstheme="majorBidi"/>
          <w:color w:val="035EF6"/>
        </w:rPr>
        <w:t>Amiodarone</w:t>
      </w:r>
      <w:proofErr w:type="spellEnd"/>
      <w:r w:rsidRPr="00C249C9">
        <w:rPr>
          <w:rStyle w:val="Strong"/>
          <w:rFonts w:asciiTheme="majorBidi" w:eastAsiaTheme="majorEastAsia" w:hAnsiTheme="majorBidi" w:cstheme="majorBidi"/>
          <w:color w:val="035EF6"/>
        </w:rPr>
        <w:t xml:space="preserve"> IV 300mg infused over 1 hour then 900mg over 24 hours through a central line (preferable) or large peripheral line </w:t>
      </w:r>
      <w:r w:rsidRPr="00C249C9">
        <w:rPr>
          <w:rStyle w:val="Strong"/>
          <w:rFonts w:asciiTheme="majorBidi" w:eastAsiaTheme="majorEastAsia" w:hAnsiTheme="majorBidi" w:cstheme="majorBidi"/>
          <w:color w:val="505051"/>
        </w:rPr>
        <w:t>or</w:t>
      </w:r>
    </w:p>
    <w:p w:rsidR="00932332" w:rsidRPr="00C249C9" w:rsidRDefault="00932332" w:rsidP="00932332">
      <w:pPr>
        <w:pStyle w:val="NormalWeb"/>
        <w:shd w:val="clear" w:color="auto" w:fill="D5E4FE"/>
        <w:spacing w:before="0" w:beforeAutospacing="0" w:after="45" w:afterAutospacing="0" w:line="276" w:lineRule="auto"/>
        <w:rPr>
          <w:rFonts w:asciiTheme="majorBidi" w:hAnsiTheme="majorBidi" w:cstheme="majorBidi"/>
          <w:color w:val="505051"/>
        </w:rPr>
      </w:pPr>
      <w:proofErr w:type="spellStart"/>
      <w:r w:rsidRPr="00C249C9">
        <w:rPr>
          <w:rStyle w:val="Strong"/>
          <w:rFonts w:asciiTheme="majorBidi" w:eastAsiaTheme="majorEastAsia" w:hAnsiTheme="majorBidi" w:cstheme="majorBidi"/>
          <w:color w:val="035EF6"/>
        </w:rPr>
        <w:t>Flecainide</w:t>
      </w:r>
      <w:proofErr w:type="spellEnd"/>
      <w:r w:rsidRPr="00C249C9">
        <w:rPr>
          <w:rStyle w:val="Strong"/>
          <w:rFonts w:asciiTheme="majorBidi" w:eastAsiaTheme="majorEastAsia" w:hAnsiTheme="majorBidi" w:cstheme="majorBidi"/>
          <w:color w:val="035EF6"/>
        </w:rPr>
        <w:t xml:space="preserve"> IV 2mg/kg, up to 150mg, over 30 minutes if no structural or coronary heart disease.</w:t>
      </w:r>
    </w:p>
    <w:p w:rsidR="00932332" w:rsidRPr="00C249C9" w:rsidRDefault="00932332" w:rsidP="00932332">
      <w:pPr>
        <w:numPr>
          <w:ilvl w:val="0"/>
          <w:numId w:val="2"/>
        </w:numPr>
        <w:shd w:val="clear" w:color="auto" w:fill="D5E4FE"/>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Control ventricular rate with oral beta-blocker or rate-limiting calcium channel blocker (or digoxin if heart failure is present).</w:t>
      </w:r>
    </w:p>
    <w:p w:rsidR="00932332" w:rsidRPr="00C249C9" w:rsidRDefault="00932332" w:rsidP="00932332">
      <w:pPr>
        <w:numPr>
          <w:ilvl w:val="0"/>
          <w:numId w:val="2"/>
        </w:numPr>
        <w:shd w:val="clear" w:color="auto" w:fill="D5E4FE"/>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Remember – many cases of new onset AF or flutter will spontaneously revert to sinus rhythm – particularly if there is an obvious precipitating cause such as pneumonia, alcohol intoxication, hyperthyroidism or surgery.</w:t>
      </w:r>
    </w:p>
    <w:p w:rsidR="00932332" w:rsidRPr="00C249C9" w:rsidRDefault="00932332" w:rsidP="00932332">
      <w:pPr>
        <w:numPr>
          <w:ilvl w:val="0"/>
          <w:numId w:val="2"/>
        </w:numPr>
        <w:shd w:val="clear" w:color="auto" w:fill="D5E4FE"/>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Cardioversion is much less successful in established AF or flutter than in new onset, and, if being considered, should not be delayed. Anticoagulant cover required if onset &gt;48 hours, so 4 – 6 week delay required.</w:t>
      </w:r>
    </w:p>
    <w:p w:rsidR="00932332" w:rsidRPr="00C249C9" w:rsidRDefault="00932332" w:rsidP="00932332">
      <w:pPr>
        <w:pStyle w:val="Heading3"/>
        <w:spacing w:before="300"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Maintenance of Sinus Rhythm</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 xml:space="preserve">Options include beta-blocker, </w:t>
      </w:r>
      <w:proofErr w:type="spellStart"/>
      <w:r w:rsidRPr="00C249C9">
        <w:rPr>
          <w:rFonts w:asciiTheme="majorBidi" w:hAnsiTheme="majorBidi" w:cstheme="majorBidi"/>
          <w:color w:val="505051"/>
        </w:rPr>
        <w:t>sotalol</w:t>
      </w:r>
      <w:proofErr w:type="spellEnd"/>
      <w:r w:rsidRPr="00C249C9">
        <w:rPr>
          <w:rFonts w:asciiTheme="majorBidi" w:hAnsiTheme="majorBidi" w:cstheme="majorBidi"/>
          <w:color w:val="505051"/>
        </w:rPr>
        <w:t xml:space="preserve">, </w:t>
      </w:r>
      <w:proofErr w:type="spellStart"/>
      <w:r w:rsidRPr="00C249C9">
        <w:rPr>
          <w:rFonts w:asciiTheme="majorBidi" w:hAnsiTheme="majorBidi" w:cstheme="majorBidi"/>
          <w:color w:val="505051"/>
        </w:rPr>
        <w:t>flecainide</w:t>
      </w:r>
      <w:proofErr w:type="spellEnd"/>
      <w:r w:rsidRPr="00C249C9">
        <w:rPr>
          <w:rFonts w:asciiTheme="majorBidi" w:hAnsiTheme="majorBidi" w:cstheme="majorBidi"/>
          <w:color w:val="505051"/>
        </w:rPr>
        <w:t xml:space="preserve"> and </w:t>
      </w:r>
      <w:proofErr w:type="spellStart"/>
      <w:r w:rsidRPr="00C249C9">
        <w:rPr>
          <w:rFonts w:asciiTheme="majorBidi" w:hAnsiTheme="majorBidi" w:cstheme="majorBidi"/>
          <w:color w:val="505051"/>
        </w:rPr>
        <w:t>amiodarone</w:t>
      </w:r>
      <w:proofErr w:type="spellEnd"/>
      <w:r w:rsidRPr="00C249C9">
        <w:rPr>
          <w:rFonts w:asciiTheme="majorBidi" w:hAnsiTheme="majorBidi" w:cstheme="majorBidi"/>
          <w:color w:val="505051"/>
        </w:rPr>
        <w:t xml:space="preserve"> depending upon circumstances and patient factors.</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proofErr w:type="spellStart"/>
      <w:r w:rsidRPr="00C249C9">
        <w:rPr>
          <w:rFonts w:asciiTheme="majorBidi" w:hAnsiTheme="majorBidi" w:cstheme="majorBidi"/>
          <w:color w:val="505051"/>
        </w:rPr>
        <w:t>Amiodarone</w:t>
      </w:r>
      <w:proofErr w:type="spellEnd"/>
      <w:r w:rsidRPr="00C249C9">
        <w:rPr>
          <w:rFonts w:asciiTheme="majorBidi" w:hAnsiTheme="majorBidi" w:cstheme="majorBidi"/>
          <w:color w:val="505051"/>
        </w:rPr>
        <w:t xml:space="preserve"> loading regime is </w:t>
      </w:r>
      <w:proofErr w:type="spellStart"/>
      <w:r w:rsidRPr="00C249C9">
        <w:rPr>
          <w:rStyle w:val="Strong"/>
          <w:rFonts w:asciiTheme="majorBidi" w:eastAsiaTheme="majorEastAsia" w:hAnsiTheme="majorBidi" w:cstheme="majorBidi"/>
          <w:color w:val="035EF6"/>
        </w:rPr>
        <w:t>amiodarone</w:t>
      </w:r>
      <w:proofErr w:type="spellEnd"/>
      <w:r w:rsidRPr="00C249C9">
        <w:rPr>
          <w:rStyle w:val="Strong"/>
          <w:rFonts w:asciiTheme="majorBidi" w:eastAsiaTheme="majorEastAsia" w:hAnsiTheme="majorBidi" w:cstheme="majorBidi"/>
          <w:color w:val="035EF6"/>
        </w:rPr>
        <w:t xml:space="preserve"> oral 200mg three times daily for 1 week then 200mg twice daily for 1 week then 200mg daily</w:t>
      </w:r>
      <w:r w:rsidRPr="00C249C9">
        <w:rPr>
          <w:rFonts w:asciiTheme="majorBidi" w:hAnsiTheme="majorBidi" w:cstheme="majorBidi"/>
          <w:color w:val="505051"/>
        </w:rPr>
        <w:t xml:space="preserve">. </w:t>
      </w:r>
      <w:r w:rsidRPr="00C249C9">
        <w:rPr>
          <w:rFonts w:asciiTheme="majorBidi" w:hAnsiTheme="majorBidi" w:cstheme="majorBidi"/>
          <w:color w:val="505051"/>
        </w:rPr>
        <w:br/>
      </w:r>
      <w:r w:rsidRPr="00C249C9">
        <w:rPr>
          <w:rStyle w:val="Strong"/>
          <w:rFonts w:asciiTheme="majorBidi" w:eastAsiaTheme="majorEastAsia" w:hAnsiTheme="majorBidi" w:cstheme="majorBidi"/>
          <w:color w:val="505051"/>
        </w:rPr>
        <w:t>N.B.</w:t>
      </w:r>
      <w:r w:rsidRPr="00C249C9">
        <w:rPr>
          <w:rFonts w:asciiTheme="majorBidi" w:hAnsiTheme="majorBidi" w:cstheme="majorBidi"/>
          <w:color w:val="505051"/>
        </w:rPr>
        <w:t> Ideally, check baseline thyroid and liver function tests before starting. Interactions include digoxin and simvastatin (see BNF Appendix 1 for more details).</w:t>
      </w:r>
    </w:p>
    <w:p w:rsidR="00932332" w:rsidRDefault="00932332" w:rsidP="00932332">
      <w:pPr>
        <w:pStyle w:val="NormalWeb"/>
        <w:spacing w:before="30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N.B.</w:t>
      </w:r>
      <w:r w:rsidRPr="00C249C9">
        <w:rPr>
          <w:rFonts w:asciiTheme="majorBidi" w:hAnsiTheme="majorBidi" w:cstheme="majorBidi"/>
          <w:color w:val="505051"/>
        </w:rPr>
        <w:t> Deal with precipitants of AF: Infection, alcohol,</w:t>
      </w:r>
      <w:r>
        <w:rPr>
          <w:rFonts w:asciiTheme="majorBidi" w:hAnsiTheme="majorBidi" w:cstheme="majorBidi"/>
          <w:color w:val="505051"/>
        </w:rPr>
        <w:t xml:space="preserve"> hyperthyroidism, heart failure </w:t>
      </w:r>
    </w:p>
    <w:p w:rsidR="00932332" w:rsidRPr="00F61194" w:rsidRDefault="00932332" w:rsidP="00932332">
      <w:pPr>
        <w:pStyle w:val="NormalWeb"/>
        <w:spacing w:before="300" w:beforeAutospacing="0" w:after="150" w:afterAutospacing="0" w:line="276" w:lineRule="auto"/>
        <w:rPr>
          <w:rFonts w:asciiTheme="majorBidi" w:hAnsiTheme="majorBidi" w:cstheme="majorBidi"/>
          <w:color w:val="505051"/>
        </w:rPr>
      </w:pPr>
      <w:r w:rsidRPr="00C249C9">
        <w:rPr>
          <w:rFonts w:asciiTheme="majorBidi" w:hAnsiTheme="majorBidi" w:cstheme="majorBidi"/>
          <w:b/>
          <w:bCs/>
          <w:color w:val="1A1919"/>
        </w:rPr>
        <w:t>Atrial Fibrillation (AF) – Persistent</w:t>
      </w:r>
    </w:p>
    <w:p w:rsidR="00932332" w:rsidRPr="00C249C9" w:rsidRDefault="00932332" w:rsidP="00932332">
      <w:pPr>
        <w:pStyle w:val="Heading2"/>
        <w:spacing w:before="360" w:beforeAutospacing="0" w:after="24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Objectives</w:t>
      </w:r>
    </w:p>
    <w:p w:rsidR="00932332" w:rsidRPr="00C249C9" w:rsidRDefault="00932332" w:rsidP="00932332">
      <w:pPr>
        <w:pStyle w:val="Heading3"/>
        <w:spacing w:before="300"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Therapeutic:</w:t>
      </w:r>
    </w:p>
    <w:p w:rsidR="00932332" w:rsidRPr="00C249C9" w:rsidRDefault="00932332" w:rsidP="00932332">
      <w:pPr>
        <w:numPr>
          <w:ilvl w:val="0"/>
          <w:numId w:val="3"/>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Relieve symptoms – often only rate control required; diuretic may also be needed (often only on temporary basis).</w:t>
      </w:r>
    </w:p>
    <w:p w:rsidR="00932332" w:rsidRPr="00C249C9" w:rsidRDefault="00932332" w:rsidP="00932332">
      <w:pPr>
        <w:numPr>
          <w:ilvl w:val="0"/>
          <w:numId w:val="3"/>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lastRenderedPageBreak/>
        <w:t>Target ventricular (apex or ECG) rate &lt;110bpm. If still symptomatic, aim for lower rate, &lt;80bpm.</w:t>
      </w:r>
    </w:p>
    <w:p w:rsidR="00932332" w:rsidRPr="00C249C9" w:rsidRDefault="00932332" w:rsidP="00932332">
      <w:pPr>
        <w:numPr>
          <w:ilvl w:val="0"/>
          <w:numId w:val="3"/>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Assess thromboembolic risk and </w:t>
      </w:r>
      <w:proofErr w:type="spellStart"/>
      <w:r w:rsidRPr="00C249C9">
        <w:rPr>
          <w:rFonts w:asciiTheme="majorBidi" w:hAnsiTheme="majorBidi" w:cstheme="majorBidi"/>
          <w:color w:val="505051"/>
          <w:sz w:val="24"/>
          <w:szCs w:val="24"/>
        </w:rPr>
        <w:t>anticoagulate</w:t>
      </w:r>
      <w:proofErr w:type="spellEnd"/>
      <w:r w:rsidRPr="00C249C9">
        <w:rPr>
          <w:rFonts w:asciiTheme="majorBidi" w:hAnsiTheme="majorBidi" w:cstheme="majorBidi"/>
          <w:color w:val="505051"/>
          <w:sz w:val="24"/>
          <w:szCs w:val="24"/>
        </w:rPr>
        <w:t xml:space="preserve"> as appropriate (see flow chart further on).</w:t>
      </w:r>
    </w:p>
    <w:p w:rsidR="00932332" w:rsidRPr="00C249C9" w:rsidRDefault="00932332" w:rsidP="00932332">
      <w:pPr>
        <w:numPr>
          <w:ilvl w:val="0"/>
          <w:numId w:val="3"/>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In some cases, consider restoration of sinus rhythm by electrical or pharmacological cardioversion (only attempt chemical or electrical cardioversion after adequate anticoagulation with warfarin; risk of thromboembolism if not </w:t>
      </w:r>
      <w:proofErr w:type="spellStart"/>
      <w:r w:rsidRPr="00C249C9">
        <w:rPr>
          <w:rFonts w:asciiTheme="majorBidi" w:hAnsiTheme="majorBidi" w:cstheme="majorBidi"/>
          <w:color w:val="505051"/>
          <w:sz w:val="24"/>
          <w:szCs w:val="24"/>
        </w:rPr>
        <w:t>anticoagulated</w:t>
      </w:r>
      <w:proofErr w:type="spellEnd"/>
      <w:r w:rsidRPr="00C249C9">
        <w:rPr>
          <w:rFonts w:asciiTheme="majorBidi" w:hAnsiTheme="majorBidi" w:cstheme="majorBidi"/>
          <w:color w:val="505051"/>
          <w:sz w:val="24"/>
          <w:szCs w:val="24"/>
        </w:rPr>
        <w:t>; limited long-term success).</w:t>
      </w:r>
    </w:p>
    <w:p w:rsidR="00932332" w:rsidRPr="00C249C9" w:rsidRDefault="00932332" w:rsidP="00932332">
      <w:pPr>
        <w:numPr>
          <w:ilvl w:val="0"/>
          <w:numId w:val="3"/>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Treat concomitant LV systolic dysfunction / heart failure.</w:t>
      </w:r>
    </w:p>
    <w:p w:rsidR="00932332" w:rsidRPr="00C249C9" w:rsidRDefault="00932332" w:rsidP="00932332">
      <w:pPr>
        <w:pStyle w:val="Heading2"/>
        <w:spacing w:before="360" w:beforeAutospacing="0" w:after="24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Ventricular rate control</w:t>
      </w:r>
    </w:p>
    <w:p w:rsidR="00932332" w:rsidRPr="00C249C9" w:rsidRDefault="00932332" w:rsidP="00932332">
      <w:pPr>
        <w:numPr>
          <w:ilvl w:val="1"/>
          <w:numId w:val="4"/>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Target ventricular (apex or ECG) rate &lt;110bpm. If still symptomatic then aim for lower rate, &lt;80bpm.</w:t>
      </w:r>
    </w:p>
    <w:p w:rsidR="00932332" w:rsidRPr="00C249C9" w:rsidRDefault="00932332" w:rsidP="00932332">
      <w:pPr>
        <w:numPr>
          <w:ilvl w:val="1"/>
          <w:numId w:val="4"/>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Patients without heart failure should be started on either:</w:t>
      </w:r>
    </w:p>
    <w:p w:rsidR="00932332" w:rsidRPr="00C249C9" w:rsidRDefault="00932332" w:rsidP="00932332">
      <w:pPr>
        <w:numPr>
          <w:ilvl w:val="3"/>
          <w:numId w:val="4"/>
        </w:numPr>
        <w:spacing w:before="45" w:after="45" w:line="276" w:lineRule="auto"/>
        <w:ind w:left="750"/>
        <w:rPr>
          <w:rFonts w:asciiTheme="majorBidi" w:hAnsiTheme="majorBidi" w:cstheme="majorBidi"/>
          <w:color w:val="505051"/>
          <w:sz w:val="24"/>
          <w:szCs w:val="24"/>
        </w:rPr>
      </w:pPr>
      <w:r w:rsidRPr="00C249C9">
        <w:rPr>
          <w:rFonts w:asciiTheme="majorBidi" w:hAnsiTheme="majorBidi" w:cstheme="majorBidi"/>
          <w:color w:val="505051"/>
          <w:sz w:val="24"/>
          <w:szCs w:val="24"/>
        </w:rPr>
        <w:t>A beta-blocker – choice includes:</w:t>
      </w:r>
    </w:p>
    <w:p w:rsidR="00932332" w:rsidRPr="00C249C9" w:rsidRDefault="00932332" w:rsidP="00932332">
      <w:pPr>
        <w:numPr>
          <w:ilvl w:val="4"/>
          <w:numId w:val="4"/>
        </w:numPr>
        <w:spacing w:before="45" w:after="45" w:line="276" w:lineRule="auto"/>
        <w:ind w:left="930"/>
        <w:rPr>
          <w:rFonts w:asciiTheme="majorBidi" w:hAnsiTheme="majorBidi" w:cstheme="majorBidi"/>
          <w:color w:val="656567"/>
          <w:sz w:val="24"/>
          <w:szCs w:val="24"/>
        </w:rPr>
      </w:pPr>
      <w:proofErr w:type="spellStart"/>
      <w:r w:rsidRPr="00C249C9">
        <w:rPr>
          <w:rStyle w:val="Strong"/>
          <w:rFonts w:asciiTheme="majorBidi" w:hAnsiTheme="majorBidi" w:cstheme="majorBidi"/>
          <w:color w:val="035EF6"/>
          <w:sz w:val="24"/>
          <w:szCs w:val="24"/>
        </w:rPr>
        <w:t>Bisoprolol</w:t>
      </w:r>
      <w:proofErr w:type="spellEnd"/>
      <w:r w:rsidRPr="00C249C9">
        <w:rPr>
          <w:rStyle w:val="Strong"/>
          <w:rFonts w:asciiTheme="majorBidi" w:hAnsiTheme="majorBidi" w:cstheme="majorBidi"/>
          <w:color w:val="035EF6"/>
          <w:sz w:val="24"/>
          <w:szCs w:val="24"/>
        </w:rPr>
        <w:t xml:space="preserve"> oral 2.5mg daily and up-titrate to 5mg once daily</w:t>
      </w:r>
      <w:r w:rsidRPr="00C249C9">
        <w:rPr>
          <w:rFonts w:asciiTheme="majorBidi" w:hAnsiTheme="majorBidi" w:cstheme="majorBidi"/>
          <w:color w:val="656567"/>
          <w:sz w:val="24"/>
          <w:szCs w:val="24"/>
        </w:rPr>
        <w:t> if ventricular rate is still &gt;110bpm or</w:t>
      </w:r>
    </w:p>
    <w:p w:rsidR="00932332" w:rsidRPr="00C249C9" w:rsidRDefault="00932332" w:rsidP="00932332">
      <w:pPr>
        <w:numPr>
          <w:ilvl w:val="4"/>
          <w:numId w:val="4"/>
        </w:numPr>
        <w:spacing w:before="45" w:after="45" w:line="276" w:lineRule="auto"/>
        <w:ind w:left="930"/>
        <w:rPr>
          <w:rFonts w:asciiTheme="majorBidi" w:hAnsiTheme="majorBidi" w:cstheme="majorBidi"/>
          <w:color w:val="656567"/>
          <w:sz w:val="24"/>
          <w:szCs w:val="24"/>
        </w:rPr>
      </w:pPr>
      <w:r w:rsidRPr="00C249C9">
        <w:rPr>
          <w:rStyle w:val="Strong"/>
          <w:rFonts w:asciiTheme="majorBidi" w:hAnsiTheme="majorBidi" w:cstheme="majorBidi"/>
          <w:color w:val="035EF6"/>
          <w:sz w:val="24"/>
          <w:szCs w:val="24"/>
        </w:rPr>
        <w:t>Atenolol oral 25mg twice daily and up-titrate to 50mg twice daily</w:t>
      </w:r>
      <w:r w:rsidRPr="00C249C9">
        <w:rPr>
          <w:rFonts w:asciiTheme="majorBidi" w:hAnsiTheme="majorBidi" w:cstheme="majorBidi"/>
          <w:color w:val="656567"/>
          <w:sz w:val="24"/>
          <w:szCs w:val="24"/>
        </w:rPr>
        <w:t> if ventricular rate is still &gt;110bpm. In frail or elderly patients consider starting dose of </w:t>
      </w:r>
      <w:r w:rsidRPr="00C249C9">
        <w:rPr>
          <w:rStyle w:val="Strong"/>
          <w:rFonts w:asciiTheme="majorBidi" w:hAnsiTheme="majorBidi" w:cstheme="majorBidi"/>
          <w:color w:val="035EF6"/>
          <w:sz w:val="24"/>
          <w:szCs w:val="24"/>
        </w:rPr>
        <w:t>atenolol oral 25mg once daily.</w:t>
      </w:r>
    </w:p>
    <w:p w:rsidR="00932332" w:rsidRPr="00C249C9" w:rsidRDefault="00932332" w:rsidP="00932332">
      <w:pPr>
        <w:spacing w:after="0"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br/>
      </w:r>
      <w:r w:rsidRPr="00C249C9">
        <w:rPr>
          <w:rStyle w:val="Strong"/>
          <w:rFonts w:asciiTheme="majorBidi" w:hAnsiTheme="majorBidi" w:cstheme="majorBidi"/>
          <w:color w:val="505051"/>
          <w:sz w:val="24"/>
          <w:szCs w:val="24"/>
        </w:rPr>
        <w:t>Or</w:t>
      </w:r>
    </w:p>
    <w:p w:rsidR="00932332" w:rsidRPr="00C249C9" w:rsidRDefault="00932332" w:rsidP="00932332">
      <w:pPr>
        <w:numPr>
          <w:ilvl w:val="2"/>
          <w:numId w:val="4"/>
        </w:numPr>
        <w:spacing w:before="45" w:after="45" w:line="276" w:lineRule="auto"/>
        <w:ind w:left="750"/>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A rate-limiting calcium-channel blocker (CCB) i.e. verapamil or </w:t>
      </w:r>
      <w:proofErr w:type="spellStart"/>
      <w:r w:rsidRPr="00C249C9">
        <w:rPr>
          <w:rFonts w:asciiTheme="majorBidi" w:hAnsiTheme="majorBidi" w:cstheme="majorBidi"/>
          <w:color w:val="505051"/>
          <w:sz w:val="24"/>
          <w:szCs w:val="24"/>
        </w:rPr>
        <w:t>diltiazem</w:t>
      </w:r>
      <w:proofErr w:type="spellEnd"/>
      <w:r w:rsidRPr="00C249C9">
        <w:rPr>
          <w:rFonts w:asciiTheme="majorBidi" w:hAnsiTheme="majorBidi" w:cstheme="majorBidi"/>
          <w:color w:val="505051"/>
          <w:sz w:val="24"/>
          <w:szCs w:val="24"/>
        </w:rPr>
        <w:t xml:space="preserve"> (but avoid if LV systolic dysfunction</w:t>
      </w:r>
      <w:proofErr w:type="gramStart"/>
      <w:r w:rsidRPr="00C249C9">
        <w:rPr>
          <w:rFonts w:asciiTheme="majorBidi" w:hAnsiTheme="majorBidi" w:cstheme="majorBidi"/>
          <w:color w:val="505051"/>
          <w:sz w:val="24"/>
          <w:szCs w:val="24"/>
        </w:rPr>
        <w:t>)-</w:t>
      </w:r>
      <w:proofErr w:type="gramEnd"/>
      <w:r w:rsidRPr="00C249C9">
        <w:rPr>
          <w:rFonts w:asciiTheme="majorBidi" w:hAnsiTheme="majorBidi" w:cstheme="majorBidi"/>
          <w:color w:val="505051"/>
          <w:sz w:val="24"/>
          <w:szCs w:val="24"/>
        </w:rPr>
        <w:t> </w:t>
      </w:r>
      <w:r w:rsidRPr="00C249C9">
        <w:rPr>
          <w:rStyle w:val="Strong"/>
          <w:rFonts w:asciiTheme="majorBidi" w:hAnsiTheme="majorBidi" w:cstheme="majorBidi"/>
          <w:color w:val="035EF6"/>
          <w:sz w:val="24"/>
          <w:szCs w:val="24"/>
        </w:rPr>
        <w:t>Start with verapamil (slow release) oral 120mg once daily and titrate up to 240mg once daily if ventricular rate still &gt;110bpm.</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N.B.</w:t>
      </w:r>
      <w:r w:rsidRPr="00C249C9">
        <w:rPr>
          <w:rFonts w:asciiTheme="majorBidi" w:hAnsiTheme="majorBidi" w:cstheme="majorBidi"/>
          <w:color w:val="505051"/>
        </w:rPr>
        <w:t> Beta-blockers and rate-limiting CCBs must not be combined except under specialist supervision.</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Digoxin has a limited role as first-line treatment for ventricular rate control. It can be used in combination with a beta-blocker / rate-limiting CCB when control of the ventricular rate is difficult.</w:t>
      </w:r>
    </w:p>
    <w:p w:rsidR="00932332" w:rsidRPr="00C249C9" w:rsidRDefault="00932332" w:rsidP="00932332">
      <w:pPr>
        <w:numPr>
          <w:ilvl w:val="0"/>
          <w:numId w:val="5"/>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Patients </w:t>
      </w:r>
      <w:r w:rsidRPr="00C249C9">
        <w:rPr>
          <w:rStyle w:val="Strong"/>
          <w:rFonts w:asciiTheme="majorBidi" w:hAnsiTheme="majorBidi" w:cstheme="majorBidi"/>
          <w:color w:val="505051"/>
          <w:sz w:val="24"/>
          <w:szCs w:val="24"/>
        </w:rPr>
        <w:t>with</w:t>
      </w:r>
      <w:r w:rsidRPr="00C249C9">
        <w:rPr>
          <w:rFonts w:asciiTheme="majorBidi" w:hAnsiTheme="majorBidi" w:cstheme="majorBidi"/>
          <w:color w:val="505051"/>
          <w:sz w:val="24"/>
          <w:szCs w:val="24"/>
        </w:rPr>
        <w:t> heart failure should be started on digoxin and follow the NHSGGC Heart Failure guideline.</w:t>
      </w:r>
    </w:p>
    <w:p w:rsidR="00932332" w:rsidRPr="00C249C9" w:rsidRDefault="00932332" w:rsidP="00932332">
      <w:pPr>
        <w:pStyle w:val="Heading4"/>
        <w:shd w:val="clear" w:color="auto" w:fill="FBF311"/>
        <w:spacing w:before="0" w:after="150" w:line="276" w:lineRule="auto"/>
        <w:rPr>
          <w:rFonts w:asciiTheme="majorBidi" w:hAnsiTheme="majorBidi"/>
          <w:color w:val="333333"/>
          <w:sz w:val="24"/>
          <w:szCs w:val="24"/>
        </w:rPr>
      </w:pPr>
      <w:r w:rsidRPr="00C249C9">
        <w:rPr>
          <w:rFonts w:asciiTheme="majorBidi" w:hAnsiTheme="majorBidi"/>
          <w:b/>
          <w:bCs/>
          <w:color w:val="333333"/>
          <w:sz w:val="24"/>
          <w:szCs w:val="24"/>
        </w:rPr>
        <w:t>Heart failure / LV Systolic Dysfunction</w:t>
      </w:r>
    </w:p>
    <w:p w:rsidR="00932332" w:rsidRPr="00C249C9" w:rsidRDefault="00932332" w:rsidP="00932332">
      <w:pPr>
        <w:pStyle w:val="NormalWeb"/>
        <w:shd w:val="clear" w:color="auto" w:fill="FBF311"/>
        <w:spacing w:before="0" w:beforeAutospacing="0" w:after="45" w:afterAutospacing="0" w:line="276" w:lineRule="auto"/>
        <w:rPr>
          <w:rFonts w:asciiTheme="majorBidi" w:hAnsiTheme="majorBidi" w:cstheme="majorBidi"/>
          <w:color w:val="505051"/>
        </w:rPr>
      </w:pPr>
      <w:r w:rsidRPr="00C249C9">
        <w:rPr>
          <w:rFonts w:asciiTheme="majorBidi" w:hAnsiTheme="majorBidi" w:cstheme="majorBidi"/>
          <w:color w:val="505051"/>
        </w:rPr>
        <w:t>. ACE inhibitors and beta-blockers are strongly recommended. Beta-blockers must be initiated under direction of a hospital physician. Rate-limiting CCBs should be avoided.</w:t>
      </w:r>
    </w:p>
    <w:p w:rsidR="00932332" w:rsidRPr="00C249C9" w:rsidRDefault="00932332" w:rsidP="00932332">
      <w:pPr>
        <w:pStyle w:val="Heading2"/>
        <w:spacing w:before="360" w:beforeAutospacing="0" w:after="24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Prevention of stroke / thromboembolism</w:t>
      </w:r>
    </w:p>
    <w:p w:rsidR="00932332" w:rsidRPr="00C249C9" w:rsidRDefault="00932332" w:rsidP="00932332">
      <w:pPr>
        <w:numPr>
          <w:ilvl w:val="0"/>
          <w:numId w:val="6"/>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lastRenderedPageBreak/>
        <w:t>Patients with both recurrent paroxysmal AF and sustained AF have a high risk of thromboembolism, particularly stroke. Compared to subjects without AF the absolute risk of stroke is, on average, increased by about 4-fold and the risk of stroke is about 4% per annum.</w:t>
      </w:r>
    </w:p>
    <w:p w:rsidR="00932332" w:rsidRPr="00C249C9" w:rsidRDefault="00932332" w:rsidP="00932332">
      <w:pPr>
        <w:numPr>
          <w:ilvl w:val="0"/>
          <w:numId w:val="6"/>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This risk is greatest in patients with certain risk factors (see flow diagram below).</w:t>
      </w:r>
    </w:p>
    <w:p w:rsidR="00932332" w:rsidRPr="00C249C9" w:rsidRDefault="00932332" w:rsidP="00932332">
      <w:pPr>
        <w:numPr>
          <w:ilvl w:val="0"/>
          <w:numId w:val="6"/>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For primary prevention, anticoagulants can substantially reduce risk of thromboembolism.</w:t>
      </w:r>
    </w:p>
    <w:p w:rsidR="00932332" w:rsidRPr="00C249C9" w:rsidRDefault="00932332" w:rsidP="00932332">
      <w:pPr>
        <w:numPr>
          <w:ilvl w:val="0"/>
          <w:numId w:val="6"/>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Patients with AF and a previous stroke or transient </w:t>
      </w:r>
      <w:proofErr w:type="spellStart"/>
      <w:r w:rsidRPr="00C249C9">
        <w:rPr>
          <w:rFonts w:asciiTheme="majorBidi" w:hAnsiTheme="majorBidi" w:cstheme="majorBidi"/>
          <w:color w:val="505051"/>
          <w:sz w:val="24"/>
          <w:szCs w:val="24"/>
        </w:rPr>
        <w:t>ischaemic</w:t>
      </w:r>
      <w:proofErr w:type="spellEnd"/>
      <w:r w:rsidRPr="00C249C9">
        <w:rPr>
          <w:rFonts w:asciiTheme="majorBidi" w:hAnsiTheme="majorBidi" w:cstheme="majorBidi"/>
          <w:color w:val="505051"/>
          <w:sz w:val="24"/>
          <w:szCs w:val="24"/>
        </w:rPr>
        <w:t xml:space="preserve"> attack (TIA) have an absolute risk of a further stroke of the order of 10–12% per annum and an absolute benefit of approximately 80 fewer strokes per 1000 patient years of treatment.</w:t>
      </w:r>
    </w:p>
    <w:p w:rsidR="00932332" w:rsidRPr="00C249C9" w:rsidRDefault="00932332" w:rsidP="00932332">
      <w:pPr>
        <w:numPr>
          <w:ilvl w:val="0"/>
          <w:numId w:val="6"/>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Advanced age is not a contraindication to anticoagulation.</w:t>
      </w:r>
    </w:p>
    <w:p w:rsidR="00932332" w:rsidRPr="00C249C9" w:rsidRDefault="00932332" w:rsidP="00932332">
      <w:pPr>
        <w:numPr>
          <w:ilvl w:val="0"/>
          <w:numId w:val="6"/>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In patients with 'lone' AF, i.e. AF in a structurally normal heart and no other risk factors for thromboembolic disease (CHA</w:t>
      </w:r>
      <w:r w:rsidRPr="00C249C9">
        <w:rPr>
          <w:rFonts w:asciiTheme="majorBidi" w:hAnsiTheme="majorBidi" w:cstheme="majorBidi"/>
          <w:color w:val="505051"/>
          <w:sz w:val="24"/>
          <w:szCs w:val="24"/>
          <w:vertAlign w:val="subscript"/>
        </w:rPr>
        <w:t>2</w:t>
      </w:r>
      <w:r w:rsidRPr="00C249C9">
        <w:rPr>
          <w:rFonts w:asciiTheme="majorBidi" w:hAnsiTheme="majorBidi" w:cstheme="majorBidi"/>
          <w:color w:val="505051"/>
          <w:sz w:val="24"/>
          <w:szCs w:val="24"/>
        </w:rPr>
        <w:t>DS</w:t>
      </w:r>
      <w:r w:rsidRPr="00C249C9">
        <w:rPr>
          <w:rFonts w:asciiTheme="majorBidi" w:hAnsiTheme="majorBidi" w:cstheme="majorBidi"/>
          <w:color w:val="505051"/>
          <w:sz w:val="24"/>
          <w:szCs w:val="24"/>
          <w:vertAlign w:val="subscript"/>
        </w:rPr>
        <w:t>2</w:t>
      </w:r>
      <w:r w:rsidRPr="00C249C9">
        <w:rPr>
          <w:rFonts w:asciiTheme="majorBidi" w:hAnsiTheme="majorBidi" w:cstheme="majorBidi"/>
          <w:color w:val="505051"/>
          <w:sz w:val="24"/>
          <w:szCs w:val="24"/>
        </w:rPr>
        <w:t>-VASC = 0), no anti-thrombotic or anticoagulant therapy is recommended.</w:t>
      </w:r>
    </w:p>
    <w:p w:rsidR="00932332" w:rsidRPr="00C249C9" w:rsidRDefault="00932332" w:rsidP="00932332">
      <w:pPr>
        <w:pStyle w:val="Heading2"/>
        <w:spacing w:before="360" w:beforeAutospacing="0" w:after="24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Who should receive anticoagulant therapy</w:t>
      </w:r>
    </w:p>
    <w:p w:rsidR="00932332" w:rsidRPr="00C249C9" w:rsidRDefault="00932332" w:rsidP="00932332">
      <w:pPr>
        <w:numPr>
          <w:ilvl w:val="0"/>
          <w:numId w:val="7"/>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Patients with clinical risk factors or echocardiographic risk factors (see flow diagram below).</w:t>
      </w:r>
    </w:p>
    <w:p w:rsidR="00932332" w:rsidRPr="00C249C9" w:rsidRDefault="00932332" w:rsidP="00932332">
      <w:pPr>
        <w:numPr>
          <w:ilvl w:val="0"/>
          <w:numId w:val="7"/>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Patients without contraindications to anticoagulant therapy.</w:t>
      </w:r>
    </w:p>
    <w:p w:rsidR="00932332" w:rsidRPr="00C249C9" w:rsidRDefault="00932332" w:rsidP="00932332">
      <w:pPr>
        <w:pStyle w:val="Heading3"/>
        <w:spacing w:before="225"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Cautions / contraindications to anticoagulant therapy</w:t>
      </w:r>
    </w:p>
    <w:p w:rsidR="00932332" w:rsidRPr="00C249C9" w:rsidRDefault="00932332" w:rsidP="00932332">
      <w:pPr>
        <w:numPr>
          <w:ilvl w:val="0"/>
          <w:numId w:val="8"/>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Absolute contraindications include: active bleeding, pregnancy, stroke &lt;14 days.</w:t>
      </w:r>
    </w:p>
    <w:p w:rsidR="00932332" w:rsidRPr="00C249C9" w:rsidRDefault="00932332" w:rsidP="00932332">
      <w:pPr>
        <w:numPr>
          <w:ilvl w:val="0"/>
          <w:numId w:val="8"/>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Relative contraindications include: significant bleeding risk e.g. active peptic ulcer or recent head injury; bleeding in the last 6 months; previous cerebral </w:t>
      </w:r>
      <w:proofErr w:type="spellStart"/>
      <w:r w:rsidRPr="00C249C9">
        <w:rPr>
          <w:rFonts w:asciiTheme="majorBidi" w:hAnsiTheme="majorBidi" w:cstheme="majorBidi"/>
          <w:color w:val="505051"/>
          <w:sz w:val="24"/>
          <w:szCs w:val="24"/>
        </w:rPr>
        <w:t>haemorrhage</w:t>
      </w:r>
      <w:proofErr w:type="spellEnd"/>
      <w:r w:rsidRPr="00C249C9">
        <w:rPr>
          <w:rFonts w:asciiTheme="majorBidi" w:hAnsiTheme="majorBidi" w:cstheme="majorBidi"/>
          <w:color w:val="505051"/>
          <w:sz w:val="24"/>
          <w:szCs w:val="24"/>
        </w:rPr>
        <w:t>.</w:t>
      </w:r>
    </w:p>
    <w:p w:rsidR="00932332" w:rsidRPr="00C249C9" w:rsidRDefault="00932332" w:rsidP="00932332">
      <w:pPr>
        <w:numPr>
          <w:ilvl w:val="0"/>
          <w:numId w:val="8"/>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Cautions include: recurrent falls, alcohol abuse.</w:t>
      </w:r>
    </w:p>
    <w:p w:rsidR="00932332" w:rsidRPr="00C249C9" w:rsidRDefault="00932332" w:rsidP="00932332">
      <w:pPr>
        <w:pStyle w:val="Heading3"/>
        <w:spacing w:before="225"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Choice of agent: new oral anticoagulant agents (NOACs) vs warfarin</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Pros of NOACs</w:t>
      </w:r>
    </w:p>
    <w:p w:rsidR="00932332" w:rsidRPr="00C249C9" w:rsidRDefault="00932332" w:rsidP="00932332">
      <w:pPr>
        <w:numPr>
          <w:ilvl w:val="0"/>
          <w:numId w:val="9"/>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More stable anticoagulation</w:t>
      </w:r>
    </w:p>
    <w:p w:rsidR="00932332" w:rsidRPr="00C249C9" w:rsidRDefault="00932332" w:rsidP="00932332">
      <w:pPr>
        <w:numPr>
          <w:ilvl w:val="0"/>
          <w:numId w:val="9"/>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No requirement for anticoagulant monitoring</w:t>
      </w:r>
    </w:p>
    <w:p w:rsidR="00932332" w:rsidRPr="00C249C9" w:rsidRDefault="00932332" w:rsidP="00932332">
      <w:pPr>
        <w:numPr>
          <w:ilvl w:val="0"/>
          <w:numId w:val="9"/>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Fewer food and drug interactions</w:t>
      </w:r>
    </w:p>
    <w:p w:rsidR="00932332" w:rsidRPr="00C249C9" w:rsidRDefault="00932332" w:rsidP="00932332">
      <w:pPr>
        <w:numPr>
          <w:ilvl w:val="0"/>
          <w:numId w:val="9"/>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Fewer intracranial bleeds</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Cons of NOACs</w:t>
      </w:r>
    </w:p>
    <w:p w:rsidR="00932332" w:rsidRPr="00C249C9" w:rsidRDefault="00932332" w:rsidP="00932332">
      <w:pPr>
        <w:numPr>
          <w:ilvl w:val="0"/>
          <w:numId w:val="10"/>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No specific antidote</w:t>
      </w:r>
    </w:p>
    <w:p w:rsidR="00932332" w:rsidRPr="00C249C9" w:rsidRDefault="00932332" w:rsidP="00932332">
      <w:pPr>
        <w:numPr>
          <w:ilvl w:val="0"/>
          <w:numId w:val="10"/>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 xml:space="preserve">More gastrointestinal bleeding with </w:t>
      </w:r>
      <w:proofErr w:type="spellStart"/>
      <w:r w:rsidRPr="00C249C9">
        <w:rPr>
          <w:rFonts w:asciiTheme="majorBidi" w:hAnsiTheme="majorBidi" w:cstheme="majorBidi"/>
          <w:color w:val="505051"/>
          <w:sz w:val="24"/>
          <w:szCs w:val="24"/>
        </w:rPr>
        <w:t>dabigatran</w:t>
      </w:r>
      <w:proofErr w:type="spellEnd"/>
      <w:r w:rsidRPr="00C249C9">
        <w:rPr>
          <w:rFonts w:asciiTheme="majorBidi" w:hAnsiTheme="majorBidi" w:cstheme="majorBidi"/>
          <w:color w:val="505051"/>
          <w:sz w:val="24"/>
          <w:szCs w:val="24"/>
        </w:rPr>
        <w:t xml:space="preserve"> and </w:t>
      </w:r>
      <w:proofErr w:type="spellStart"/>
      <w:r w:rsidRPr="00C249C9">
        <w:rPr>
          <w:rFonts w:asciiTheme="majorBidi" w:hAnsiTheme="majorBidi" w:cstheme="majorBidi"/>
          <w:color w:val="505051"/>
          <w:sz w:val="24"/>
          <w:szCs w:val="24"/>
        </w:rPr>
        <w:t>rivaroxaban</w:t>
      </w:r>
      <w:proofErr w:type="spellEnd"/>
      <w:r w:rsidRPr="00C249C9">
        <w:rPr>
          <w:rFonts w:asciiTheme="majorBidi" w:hAnsiTheme="majorBidi" w:cstheme="majorBidi"/>
          <w:color w:val="505051"/>
          <w:sz w:val="24"/>
          <w:szCs w:val="24"/>
        </w:rPr>
        <w:t>, especially in the elderly</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lastRenderedPageBreak/>
        <w:t>Remember</w:t>
      </w:r>
      <w:r w:rsidRPr="00C249C9">
        <w:rPr>
          <w:rFonts w:asciiTheme="majorBidi" w:hAnsiTheme="majorBidi" w:cstheme="majorBidi"/>
          <w:color w:val="505051"/>
        </w:rPr>
        <w:t>: NOACS are indicated only in those patients who have non-</w:t>
      </w:r>
      <w:proofErr w:type="spellStart"/>
      <w:r w:rsidRPr="00C249C9">
        <w:rPr>
          <w:rFonts w:asciiTheme="majorBidi" w:hAnsiTheme="majorBidi" w:cstheme="majorBidi"/>
          <w:color w:val="505051"/>
        </w:rPr>
        <w:t>valvular</w:t>
      </w:r>
      <w:proofErr w:type="spellEnd"/>
      <w:r w:rsidRPr="00C249C9">
        <w:rPr>
          <w:rFonts w:asciiTheme="majorBidi" w:hAnsiTheme="majorBidi" w:cstheme="majorBidi"/>
          <w:color w:val="505051"/>
        </w:rPr>
        <w:t xml:space="preserve"> AF; not those with mitral stenosis or a mechanical valve.</w:t>
      </w:r>
    </w:p>
    <w:p w:rsidR="00932332" w:rsidRPr="00C249C9" w:rsidRDefault="00932332" w:rsidP="00932332">
      <w:pPr>
        <w:pStyle w:val="Heading3"/>
        <w:spacing w:before="300"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Combined anticoagulant and antiplatelet therapy</w:t>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Adding aspirin to warfarin in AF does not reduce the risk of stroke (except with prosthetic heart valves) but substantially increases the risk of bleeding. The combination is generally not indicated in stable coronary disease, but there are some circumstances, such as after an acute coronary event or PCI, when short-term combined double or triple therapy is used according to cardiologist advice.</w:t>
      </w:r>
    </w:p>
    <w:p w:rsidR="00932332" w:rsidRPr="00C249C9" w:rsidRDefault="00932332" w:rsidP="00932332">
      <w:pPr>
        <w:pStyle w:val="NormalWeb"/>
        <w:spacing w:before="0" w:beforeAutospacing="0" w:after="150" w:afterAutospacing="0" w:line="276" w:lineRule="auto"/>
        <w:rPr>
          <w:rFonts w:asciiTheme="majorBidi" w:hAnsiTheme="majorBidi" w:cstheme="majorBidi"/>
          <w:b/>
          <w:bCs/>
          <w:color w:val="333333"/>
        </w:rPr>
      </w:pPr>
      <w:r w:rsidRPr="00C249C9">
        <w:rPr>
          <w:rFonts w:asciiTheme="majorBidi" w:hAnsiTheme="majorBidi" w:cstheme="majorBidi"/>
          <w:noProof/>
        </w:rPr>
        <w:drawing>
          <wp:inline distT="0" distB="0" distL="0" distR="0" wp14:anchorId="6D29CF93" wp14:editId="780D3415">
            <wp:extent cx="4838700" cy="2790825"/>
            <wp:effectExtent l="0" t="0" r="0" b="9525"/>
            <wp:docPr id="10" name="Picture 10" descr="Image result for CH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HAD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2790825"/>
                    </a:xfrm>
                    <a:prstGeom prst="rect">
                      <a:avLst/>
                    </a:prstGeom>
                    <a:noFill/>
                    <a:ln>
                      <a:noFill/>
                    </a:ln>
                  </pic:spPr>
                </pic:pic>
              </a:graphicData>
            </a:graphic>
          </wp:inline>
        </w:drawing>
      </w:r>
    </w:p>
    <w:p w:rsidR="00932332" w:rsidRPr="00C249C9" w:rsidRDefault="00932332" w:rsidP="00932332">
      <w:pPr>
        <w:pStyle w:val="NormalWeb"/>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b/>
          <w:bCs/>
          <w:color w:val="333333"/>
        </w:rPr>
        <w:t>Table 1 – CHADS</w:t>
      </w:r>
      <w:r w:rsidRPr="00C249C9">
        <w:rPr>
          <w:rFonts w:asciiTheme="majorBidi" w:hAnsiTheme="majorBidi" w:cstheme="majorBidi"/>
          <w:b/>
          <w:bCs/>
          <w:color w:val="333333"/>
          <w:vertAlign w:val="subscript"/>
        </w:rPr>
        <w:t>2</w:t>
      </w:r>
      <w:r w:rsidRPr="00C249C9">
        <w:rPr>
          <w:rFonts w:asciiTheme="majorBidi" w:hAnsiTheme="majorBidi" w:cstheme="majorBidi"/>
          <w:b/>
          <w:bCs/>
          <w:color w:val="333333"/>
        </w:rPr>
        <w:t> scoring table</w:t>
      </w:r>
    </w:p>
    <w:tbl>
      <w:tblPr>
        <w:tblpPr w:leftFromText="180" w:rightFromText="180" w:vertAnchor="text" w:horzAnchor="margin" w:tblpY="266"/>
        <w:tblW w:w="7830" w:type="dxa"/>
        <w:tblCellMar>
          <w:top w:w="15" w:type="dxa"/>
          <w:left w:w="15" w:type="dxa"/>
          <w:bottom w:w="15" w:type="dxa"/>
          <w:right w:w="15" w:type="dxa"/>
        </w:tblCellMar>
        <w:tblLook w:val="04A0" w:firstRow="1" w:lastRow="0" w:firstColumn="1" w:lastColumn="0" w:noHBand="0" w:noVBand="1"/>
      </w:tblPr>
      <w:tblGrid>
        <w:gridCol w:w="7830"/>
      </w:tblGrid>
      <w:tr w:rsidR="00932332" w:rsidRPr="00C249C9" w:rsidTr="00F63D8F">
        <w:trPr>
          <w:trHeight w:val="243"/>
        </w:trPr>
        <w:tc>
          <w:tcPr>
            <w:tcW w:w="7830" w:type="dxa"/>
            <w:tcBorders>
              <w:top w:val="single" w:sz="6" w:space="0" w:color="035EF6"/>
              <w:left w:val="nil"/>
              <w:bottom w:val="single" w:sz="6" w:space="0" w:color="035EF6"/>
              <w:right w:val="nil"/>
            </w:tcBorders>
            <w:shd w:val="clear" w:color="auto" w:fill="035EF6"/>
            <w:tcMar>
              <w:top w:w="192" w:type="dxa"/>
              <w:left w:w="192" w:type="dxa"/>
              <w:bottom w:w="192" w:type="dxa"/>
              <w:right w:w="192" w:type="dxa"/>
            </w:tcMar>
            <w:hideMark/>
          </w:tcPr>
          <w:p w:rsidR="00932332" w:rsidRPr="00C249C9" w:rsidRDefault="00932332" w:rsidP="00F63D8F">
            <w:pPr>
              <w:spacing w:before="480" w:line="276" w:lineRule="auto"/>
              <w:rPr>
                <w:rFonts w:asciiTheme="majorBidi" w:hAnsiTheme="majorBidi" w:cstheme="majorBidi"/>
                <w:color w:val="FFFFFF"/>
                <w:sz w:val="24"/>
                <w:szCs w:val="24"/>
              </w:rPr>
            </w:pPr>
            <w:r w:rsidRPr="00C249C9">
              <w:rPr>
                <w:rFonts w:asciiTheme="majorBidi" w:hAnsiTheme="majorBidi" w:cstheme="majorBidi"/>
                <w:color w:val="FFFFFF"/>
                <w:sz w:val="24"/>
                <w:szCs w:val="24"/>
              </w:rPr>
              <w:t>Non-</w:t>
            </w:r>
            <w:proofErr w:type="spellStart"/>
            <w:r w:rsidRPr="00C249C9">
              <w:rPr>
                <w:rFonts w:asciiTheme="majorBidi" w:hAnsiTheme="majorBidi" w:cstheme="majorBidi"/>
                <w:color w:val="FFFFFF"/>
                <w:sz w:val="24"/>
                <w:szCs w:val="24"/>
              </w:rPr>
              <w:t>valvular</w:t>
            </w:r>
            <w:proofErr w:type="spellEnd"/>
            <w:r w:rsidRPr="00C249C9">
              <w:rPr>
                <w:rFonts w:asciiTheme="majorBidi" w:hAnsiTheme="majorBidi" w:cstheme="majorBidi"/>
                <w:color w:val="FFFFFF"/>
                <w:sz w:val="24"/>
                <w:szCs w:val="24"/>
              </w:rPr>
              <w:t xml:space="preserve"> Atrial fibrillation (paroxysmal, persistent or permanent)</w:t>
            </w:r>
          </w:p>
        </w:tc>
      </w:tr>
      <w:tr w:rsidR="00932332" w:rsidRPr="00C249C9" w:rsidTr="00F63D8F">
        <w:trPr>
          <w:trHeight w:val="540"/>
        </w:trPr>
        <w:tc>
          <w:tcPr>
            <w:tcW w:w="7830" w:type="dxa"/>
            <w:tcBorders>
              <w:top w:val="nil"/>
              <w:left w:val="nil"/>
              <w:bottom w:val="nil"/>
              <w:right w:val="nil"/>
            </w:tcBorders>
            <w:shd w:val="clear" w:color="auto" w:fill="auto"/>
            <w:tcMar>
              <w:top w:w="0" w:type="dxa"/>
              <w:left w:w="0" w:type="dxa"/>
              <w:bottom w:w="240" w:type="dxa"/>
              <w:right w:w="0" w:type="dxa"/>
            </w:tcMar>
            <w:hideMark/>
          </w:tcPr>
          <w:p w:rsidR="00932332" w:rsidRPr="00C249C9" w:rsidRDefault="00932332" w:rsidP="00F63D8F">
            <w:pPr>
              <w:spacing w:before="480" w:line="276" w:lineRule="auto"/>
              <w:jc w:val="center"/>
              <w:rPr>
                <w:rFonts w:asciiTheme="majorBidi" w:hAnsiTheme="majorBidi" w:cstheme="majorBidi"/>
                <w:color w:val="035EF6"/>
                <w:sz w:val="24"/>
                <w:szCs w:val="24"/>
              </w:rPr>
            </w:pPr>
            <w:r w:rsidRPr="00C249C9">
              <w:rPr>
                <w:rFonts w:asciiTheme="majorBidi" w:hAnsiTheme="majorBidi" w:cstheme="majorBidi"/>
                <w:color w:val="035EF6"/>
                <w:sz w:val="24"/>
                <w:szCs w:val="24"/>
              </w:rPr>
              <w:t>↓</w:t>
            </w:r>
          </w:p>
        </w:tc>
      </w:tr>
      <w:tr w:rsidR="00932332" w:rsidRPr="00C249C9" w:rsidTr="00F63D8F">
        <w:trPr>
          <w:trHeight w:val="438"/>
        </w:trPr>
        <w:tc>
          <w:tcPr>
            <w:tcW w:w="7830" w:type="dxa"/>
            <w:tcBorders>
              <w:top w:val="single" w:sz="6" w:space="0" w:color="035EF6"/>
              <w:left w:val="nil"/>
              <w:bottom w:val="single" w:sz="6" w:space="0" w:color="035EF6"/>
              <w:right w:val="nil"/>
            </w:tcBorders>
            <w:shd w:val="clear" w:color="auto" w:fill="auto"/>
            <w:tcMar>
              <w:top w:w="192" w:type="dxa"/>
              <w:left w:w="192" w:type="dxa"/>
              <w:bottom w:w="192" w:type="dxa"/>
              <w:right w:w="192" w:type="dxa"/>
            </w:tcMar>
            <w:hideMark/>
          </w:tcPr>
          <w:p w:rsidR="00932332" w:rsidRPr="00C249C9" w:rsidRDefault="00932332" w:rsidP="00F63D8F">
            <w:pPr>
              <w:spacing w:before="480" w:line="276" w:lineRule="auto"/>
              <w:rPr>
                <w:rFonts w:asciiTheme="majorBidi" w:hAnsiTheme="majorBidi" w:cstheme="majorBidi"/>
                <w:color w:val="505051"/>
                <w:sz w:val="24"/>
                <w:szCs w:val="24"/>
              </w:rPr>
            </w:pPr>
            <w:r w:rsidRPr="00C249C9">
              <w:rPr>
                <w:rFonts w:asciiTheme="majorBidi" w:hAnsiTheme="majorBidi" w:cstheme="majorBidi"/>
                <w:color w:val="505051"/>
                <w:sz w:val="24"/>
                <w:szCs w:val="24"/>
              </w:rPr>
              <w:t>Determine risk of thromboembolism (use CHADS</w:t>
            </w:r>
            <w:r w:rsidRPr="00C249C9">
              <w:rPr>
                <w:rFonts w:asciiTheme="majorBidi" w:hAnsiTheme="majorBidi" w:cstheme="majorBidi"/>
                <w:color w:val="505051"/>
                <w:sz w:val="24"/>
                <w:szCs w:val="24"/>
                <w:vertAlign w:val="subscript"/>
              </w:rPr>
              <w:t>2</w:t>
            </w:r>
            <w:r w:rsidRPr="00C249C9">
              <w:rPr>
                <w:rFonts w:asciiTheme="majorBidi" w:hAnsiTheme="majorBidi" w:cstheme="majorBidi"/>
                <w:color w:val="505051"/>
                <w:sz w:val="24"/>
                <w:szCs w:val="24"/>
              </w:rPr>
              <w:t>, table 1 above)</w:t>
            </w:r>
          </w:p>
        </w:tc>
      </w:tr>
      <w:tr w:rsidR="00932332" w:rsidRPr="00C249C9" w:rsidTr="00F63D8F">
        <w:trPr>
          <w:trHeight w:val="747"/>
        </w:trPr>
        <w:tc>
          <w:tcPr>
            <w:tcW w:w="7830" w:type="dxa"/>
            <w:tcBorders>
              <w:top w:val="nil"/>
              <w:left w:val="nil"/>
              <w:bottom w:val="nil"/>
              <w:right w:val="nil"/>
            </w:tcBorders>
            <w:shd w:val="clear" w:color="auto" w:fill="auto"/>
            <w:tcMar>
              <w:top w:w="0" w:type="dxa"/>
              <w:left w:w="0" w:type="dxa"/>
              <w:bottom w:w="240" w:type="dxa"/>
              <w:right w:w="0" w:type="dxa"/>
            </w:tcMar>
            <w:hideMark/>
          </w:tcPr>
          <w:p w:rsidR="00932332" w:rsidRPr="00C249C9" w:rsidRDefault="00932332" w:rsidP="00F63D8F">
            <w:pPr>
              <w:spacing w:before="480" w:line="276" w:lineRule="auto"/>
              <w:jc w:val="center"/>
              <w:rPr>
                <w:rFonts w:asciiTheme="majorBidi" w:hAnsiTheme="majorBidi" w:cstheme="majorBidi"/>
                <w:color w:val="035EF6"/>
                <w:sz w:val="24"/>
                <w:szCs w:val="24"/>
              </w:rPr>
            </w:pPr>
            <w:r w:rsidRPr="00C249C9">
              <w:rPr>
                <w:rFonts w:asciiTheme="majorBidi" w:hAnsiTheme="majorBidi" w:cstheme="majorBidi"/>
                <w:color w:val="035EF6"/>
                <w:sz w:val="24"/>
                <w:szCs w:val="24"/>
              </w:rPr>
              <w:t>↓</w:t>
            </w:r>
          </w:p>
        </w:tc>
      </w:tr>
      <w:tr w:rsidR="00932332" w:rsidRPr="00C249C9" w:rsidTr="00F63D8F">
        <w:tc>
          <w:tcPr>
            <w:tcW w:w="7830" w:type="dxa"/>
            <w:tcBorders>
              <w:top w:val="single" w:sz="6" w:space="0" w:color="035EF6"/>
              <w:left w:val="nil"/>
              <w:bottom w:val="single" w:sz="6" w:space="0" w:color="035EF6"/>
              <w:right w:val="nil"/>
            </w:tcBorders>
            <w:shd w:val="clear" w:color="auto" w:fill="D5E4FE"/>
            <w:tcMar>
              <w:top w:w="192" w:type="dxa"/>
              <w:left w:w="192" w:type="dxa"/>
              <w:bottom w:w="192" w:type="dxa"/>
              <w:right w:w="192" w:type="dxa"/>
            </w:tcMar>
            <w:hideMark/>
          </w:tcPr>
          <w:p w:rsidR="00932332" w:rsidRPr="00C249C9" w:rsidRDefault="00932332" w:rsidP="00F63D8F">
            <w:pPr>
              <w:pStyle w:val="NormalWeb"/>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lastRenderedPageBreak/>
              <w:t>If CHADS</w:t>
            </w:r>
            <w:r w:rsidRPr="00C249C9">
              <w:rPr>
                <w:rStyle w:val="Strong"/>
                <w:rFonts w:asciiTheme="majorBidi" w:eastAsiaTheme="majorEastAsia" w:hAnsiTheme="majorBidi" w:cstheme="majorBidi"/>
                <w:color w:val="505051"/>
                <w:vertAlign w:val="subscript"/>
              </w:rPr>
              <w:t>2</w:t>
            </w:r>
            <w:r w:rsidRPr="00C249C9">
              <w:rPr>
                <w:rStyle w:val="Strong"/>
                <w:rFonts w:asciiTheme="majorBidi" w:eastAsiaTheme="majorEastAsia" w:hAnsiTheme="majorBidi" w:cstheme="majorBidi"/>
                <w:color w:val="505051"/>
              </w:rPr>
              <w:t> = 0 or 1</w:t>
            </w:r>
            <w:r w:rsidRPr="00C249C9">
              <w:rPr>
                <w:rFonts w:asciiTheme="majorBidi" w:hAnsiTheme="majorBidi" w:cstheme="majorBidi"/>
                <w:color w:val="505051"/>
              </w:rPr>
              <w:t> – Use CHA</w:t>
            </w:r>
            <w:r w:rsidRPr="00C249C9">
              <w:rPr>
                <w:rFonts w:asciiTheme="majorBidi" w:hAnsiTheme="majorBidi" w:cstheme="majorBidi"/>
                <w:color w:val="505051"/>
                <w:vertAlign w:val="subscript"/>
              </w:rPr>
              <w:t>2</w:t>
            </w:r>
            <w:r w:rsidRPr="00C249C9">
              <w:rPr>
                <w:rFonts w:asciiTheme="majorBidi" w:hAnsiTheme="majorBidi" w:cstheme="majorBidi"/>
                <w:color w:val="505051"/>
              </w:rPr>
              <w:t>DS</w:t>
            </w:r>
            <w:r w:rsidRPr="00C249C9">
              <w:rPr>
                <w:rFonts w:asciiTheme="majorBidi" w:hAnsiTheme="majorBidi" w:cstheme="majorBidi"/>
                <w:color w:val="505051"/>
                <w:vertAlign w:val="subscript"/>
              </w:rPr>
              <w:t>2</w:t>
            </w:r>
            <w:r w:rsidRPr="00C249C9">
              <w:rPr>
                <w:rFonts w:asciiTheme="majorBidi" w:hAnsiTheme="majorBidi" w:cstheme="majorBidi"/>
                <w:color w:val="505051"/>
              </w:rPr>
              <w:t>-VASC scoring table </w:t>
            </w:r>
            <w:hyperlink r:id="rId6" w:history="1">
              <w:r w:rsidRPr="00C249C9">
                <w:rPr>
                  <w:rStyle w:val="Hyperlink"/>
                  <w:rFonts w:asciiTheme="majorBidi" w:eastAsiaTheme="majorEastAsia" w:hAnsiTheme="majorBidi" w:cstheme="majorBidi"/>
                  <w:b/>
                  <w:bCs/>
                  <w:color w:val="EB8813"/>
                </w:rPr>
                <w:t>here</w:t>
              </w:r>
            </w:hyperlink>
          </w:p>
          <w:p w:rsidR="00932332" w:rsidRPr="00C249C9" w:rsidRDefault="00932332" w:rsidP="00F63D8F">
            <w:pPr>
              <w:pStyle w:val="NormalWeb"/>
              <w:spacing w:before="150" w:beforeAutospacing="0" w:after="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If CHADS</w:t>
            </w:r>
            <w:r w:rsidRPr="00C249C9">
              <w:rPr>
                <w:rStyle w:val="Strong"/>
                <w:rFonts w:asciiTheme="majorBidi" w:eastAsiaTheme="majorEastAsia" w:hAnsiTheme="majorBidi" w:cstheme="majorBidi"/>
                <w:color w:val="505051"/>
                <w:vertAlign w:val="subscript"/>
              </w:rPr>
              <w:t>2</w:t>
            </w:r>
            <w:r w:rsidRPr="00C249C9">
              <w:rPr>
                <w:rStyle w:val="Strong"/>
                <w:rFonts w:asciiTheme="majorBidi" w:eastAsiaTheme="majorEastAsia" w:hAnsiTheme="majorBidi" w:cstheme="majorBidi"/>
                <w:color w:val="505051"/>
              </w:rPr>
              <w:t> ≥2</w:t>
            </w:r>
            <w:r w:rsidRPr="00C249C9">
              <w:rPr>
                <w:rFonts w:asciiTheme="majorBidi" w:hAnsiTheme="majorBidi" w:cstheme="majorBidi"/>
                <w:color w:val="505051"/>
              </w:rPr>
              <w:t> – continue below</w:t>
            </w:r>
          </w:p>
        </w:tc>
      </w:tr>
      <w:tr w:rsidR="00932332" w:rsidRPr="00C249C9" w:rsidTr="00F63D8F">
        <w:tc>
          <w:tcPr>
            <w:tcW w:w="7830" w:type="dxa"/>
            <w:tcBorders>
              <w:top w:val="nil"/>
              <w:left w:val="nil"/>
              <w:bottom w:val="nil"/>
              <w:right w:val="nil"/>
            </w:tcBorders>
            <w:shd w:val="clear" w:color="auto" w:fill="auto"/>
            <w:tcMar>
              <w:top w:w="0" w:type="dxa"/>
              <w:left w:w="0" w:type="dxa"/>
              <w:bottom w:w="240" w:type="dxa"/>
              <w:right w:w="0" w:type="dxa"/>
            </w:tcMar>
            <w:hideMark/>
          </w:tcPr>
          <w:p w:rsidR="00932332" w:rsidRPr="00C249C9" w:rsidRDefault="00932332" w:rsidP="00F63D8F">
            <w:pPr>
              <w:spacing w:line="276" w:lineRule="auto"/>
              <w:jc w:val="center"/>
              <w:rPr>
                <w:rFonts w:asciiTheme="majorBidi" w:hAnsiTheme="majorBidi" w:cstheme="majorBidi"/>
                <w:color w:val="035EF6"/>
                <w:sz w:val="24"/>
                <w:szCs w:val="24"/>
              </w:rPr>
            </w:pPr>
            <w:r w:rsidRPr="00C249C9">
              <w:rPr>
                <w:rFonts w:asciiTheme="majorBidi" w:hAnsiTheme="majorBidi" w:cstheme="majorBidi"/>
                <w:color w:val="035EF6"/>
                <w:sz w:val="24"/>
                <w:szCs w:val="24"/>
              </w:rPr>
              <w:t>↓</w:t>
            </w:r>
          </w:p>
        </w:tc>
      </w:tr>
      <w:tr w:rsidR="00932332" w:rsidRPr="00C249C9" w:rsidTr="00F63D8F">
        <w:trPr>
          <w:trHeight w:val="23"/>
        </w:trPr>
        <w:tc>
          <w:tcPr>
            <w:tcW w:w="7830" w:type="dxa"/>
            <w:tcBorders>
              <w:top w:val="single" w:sz="6" w:space="0" w:color="035EF6"/>
              <w:left w:val="nil"/>
              <w:bottom w:val="single" w:sz="6" w:space="0" w:color="035EF6"/>
              <w:right w:val="nil"/>
            </w:tcBorders>
            <w:shd w:val="clear" w:color="auto" w:fill="D5E4FE"/>
            <w:tcMar>
              <w:top w:w="192" w:type="dxa"/>
              <w:left w:w="192" w:type="dxa"/>
              <w:bottom w:w="192" w:type="dxa"/>
              <w:right w:w="192" w:type="dxa"/>
            </w:tcMar>
            <w:hideMark/>
          </w:tcPr>
          <w:p w:rsidR="00932332" w:rsidRPr="00C249C9" w:rsidRDefault="00932332" w:rsidP="00F63D8F">
            <w:pPr>
              <w:spacing w:line="276" w:lineRule="auto"/>
              <w:rPr>
                <w:rFonts w:asciiTheme="majorBidi" w:hAnsiTheme="majorBidi" w:cstheme="majorBidi"/>
                <w:color w:val="505051"/>
                <w:sz w:val="24"/>
                <w:szCs w:val="24"/>
              </w:rPr>
            </w:pPr>
            <w:r w:rsidRPr="00C249C9">
              <w:rPr>
                <w:rStyle w:val="Strong"/>
                <w:rFonts w:asciiTheme="majorBidi" w:hAnsiTheme="majorBidi" w:cstheme="majorBidi"/>
                <w:color w:val="505051"/>
                <w:sz w:val="24"/>
                <w:szCs w:val="24"/>
              </w:rPr>
              <w:t xml:space="preserve">Warfarin or direct thrombin inhibitor or factor </w:t>
            </w:r>
            <w:proofErr w:type="spellStart"/>
            <w:r w:rsidRPr="00C249C9">
              <w:rPr>
                <w:rStyle w:val="Strong"/>
                <w:rFonts w:asciiTheme="majorBidi" w:hAnsiTheme="majorBidi" w:cstheme="majorBidi"/>
                <w:color w:val="505051"/>
                <w:sz w:val="24"/>
                <w:szCs w:val="24"/>
              </w:rPr>
              <w:t>Xa</w:t>
            </w:r>
            <w:proofErr w:type="spellEnd"/>
            <w:r w:rsidRPr="00C249C9">
              <w:rPr>
                <w:rStyle w:val="Strong"/>
                <w:rFonts w:asciiTheme="majorBidi" w:hAnsiTheme="majorBidi" w:cstheme="majorBidi"/>
                <w:color w:val="505051"/>
                <w:sz w:val="24"/>
                <w:szCs w:val="24"/>
              </w:rPr>
              <w:t xml:space="preserve"> inhibitor (NOAC)</w:t>
            </w:r>
            <w:r w:rsidRPr="00C249C9">
              <w:rPr>
                <w:rFonts w:asciiTheme="majorBidi" w:hAnsiTheme="majorBidi" w:cstheme="majorBidi"/>
                <w:color w:val="505051"/>
                <w:sz w:val="24"/>
                <w:szCs w:val="24"/>
              </w:rPr>
              <w:t> </w:t>
            </w:r>
          </w:p>
          <w:p w:rsidR="00932332" w:rsidRPr="00C249C9" w:rsidRDefault="00932332" w:rsidP="00F63D8F">
            <w:pPr>
              <w:spacing w:line="276" w:lineRule="auto"/>
              <w:rPr>
                <w:rFonts w:asciiTheme="majorBidi" w:hAnsiTheme="majorBidi" w:cstheme="majorBidi"/>
                <w:color w:val="505051"/>
                <w:sz w:val="24"/>
                <w:szCs w:val="24"/>
              </w:rPr>
            </w:pPr>
            <w:r w:rsidRPr="00C249C9">
              <w:rPr>
                <w:rFonts w:asciiTheme="majorBidi" w:hAnsiTheme="majorBidi" w:cstheme="majorBidi"/>
                <w:color w:val="505051"/>
                <w:sz w:val="24"/>
                <w:szCs w:val="24"/>
              </w:rPr>
              <w:t>(if no contraindications, outlined above)</w:t>
            </w:r>
          </w:p>
        </w:tc>
      </w:tr>
    </w:tbl>
    <w:p w:rsidR="00932332" w:rsidRPr="00C249C9" w:rsidRDefault="00932332" w:rsidP="00932332">
      <w:pPr>
        <w:pStyle w:val="Heading4"/>
        <w:spacing w:before="300" w:after="150" w:line="276" w:lineRule="auto"/>
        <w:rPr>
          <w:rFonts w:asciiTheme="majorBidi" w:hAnsiTheme="majorBidi"/>
          <w:b/>
          <w:bCs/>
          <w:color w:val="333333"/>
          <w:sz w:val="24"/>
          <w:szCs w:val="24"/>
        </w:rPr>
      </w:pPr>
    </w:p>
    <w:p w:rsidR="00932332" w:rsidRPr="00C249C9" w:rsidRDefault="00932332" w:rsidP="00932332">
      <w:pPr>
        <w:pStyle w:val="Heading4"/>
        <w:spacing w:before="300" w:after="150" w:line="276" w:lineRule="auto"/>
        <w:rPr>
          <w:rFonts w:asciiTheme="majorBidi" w:hAnsiTheme="majorBidi"/>
          <w:b/>
          <w:bCs/>
          <w:color w:val="333333"/>
          <w:sz w:val="24"/>
          <w:szCs w:val="24"/>
        </w:rPr>
      </w:pPr>
    </w:p>
    <w:p w:rsidR="00932332" w:rsidRPr="00C249C9" w:rsidRDefault="00932332" w:rsidP="00932332">
      <w:pPr>
        <w:pStyle w:val="Heading4"/>
        <w:spacing w:before="300" w:after="150" w:line="276" w:lineRule="auto"/>
        <w:rPr>
          <w:rFonts w:asciiTheme="majorBidi" w:hAnsiTheme="majorBidi"/>
          <w:b/>
          <w:bCs/>
          <w:color w:val="333333"/>
          <w:sz w:val="24"/>
          <w:szCs w:val="24"/>
        </w:rPr>
      </w:pPr>
    </w:p>
    <w:p w:rsidR="00932332" w:rsidRPr="00C249C9" w:rsidRDefault="00932332" w:rsidP="00932332">
      <w:pPr>
        <w:pStyle w:val="Heading4"/>
        <w:spacing w:before="300" w:after="150" w:line="276" w:lineRule="auto"/>
        <w:rPr>
          <w:rFonts w:asciiTheme="majorBidi" w:hAnsiTheme="majorBidi"/>
          <w:b/>
          <w:bCs/>
          <w:color w:val="333333"/>
          <w:sz w:val="24"/>
          <w:szCs w:val="24"/>
        </w:rPr>
      </w:pPr>
    </w:p>
    <w:p w:rsidR="00932332" w:rsidRPr="00C249C9" w:rsidRDefault="00932332" w:rsidP="00932332">
      <w:pPr>
        <w:pStyle w:val="Heading4"/>
        <w:spacing w:before="300" w:after="150" w:line="276" w:lineRule="auto"/>
        <w:rPr>
          <w:rFonts w:asciiTheme="majorBidi" w:hAnsiTheme="majorBidi"/>
          <w:color w:val="333333"/>
          <w:sz w:val="24"/>
          <w:szCs w:val="24"/>
        </w:rPr>
      </w:pPr>
      <w:r w:rsidRPr="00C249C9">
        <w:rPr>
          <w:rFonts w:asciiTheme="majorBidi" w:hAnsiTheme="majorBidi"/>
          <w:b/>
          <w:bCs/>
          <w:color w:val="333333"/>
          <w:sz w:val="24"/>
          <w:szCs w:val="24"/>
        </w:rPr>
        <w:t>Figure 1 – Prevention of stroke / thromboembolism in AF stroke algorithm</w:t>
      </w:r>
    </w:p>
    <w:p w:rsidR="00932332" w:rsidRPr="00C249C9" w:rsidRDefault="00932332" w:rsidP="00932332">
      <w:pPr>
        <w:pStyle w:val="Heading3"/>
        <w:spacing w:before="300" w:beforeAutospacing="0" w:after="150" w:afterAutospacing="0" w:line="276" w:lineRule="auto"/>
        <w:rPr>
          <w:rFonts w:asciiTheme="majorBidi" w:hAnsiTheme="majorBidi" w:cstheme="majorBidi"/>
          <w:b w:val="0"/>
          <w:bCs w:val="0"/>
          <w:color w:val="333333"/>
          <w:sz w:val="24"/>
          <w:szCs w:val="24"/>
        </w:rPr>
      </w:pPr>
      <w:r w:rsidRPr="00C249C9">
        <w:rPr>
          <w:rFonts w:asciiTheme="majorBidi" w:hAnsiTheme="majorBidi" w:cstheme="majorBidi"/>
          <w:b w:val="0"/>
          <w:bCs w:val="0"/>
          <w:color w:val="333333"/>
          <w:sz w:val="24"/>
          <w:szCs w:val="24"/>
        </w:rPr>
        <w:t xml:space="preserve">New anticoagulants (direct thrombin and Factor </w:t>
      </w:r>
      <w:proofErr w:type="spellStart"/>
      <w:r w:rsidRPr="00C249C9">
        <w:rPr>
          <w:rFonts w:asciiTheme="majorBidi" w:hAnsiTheme="majorBidi" w:cstheme="majorBidi"/>
          <w:b w:val="0"/>
          <w:bCs w:val="0"/>
          <w:color w:val="333333"/>
          <w:sz w:val="24"/>
          <w:szCs w:val="24"/>
        </w:rPr>
        <w:t>Xa</w:t>
      </w:r>
      <w:proofErr w:type="spellEnd"/>
      <w:r w:rsidRPr="00C249C9">
        <w:rPr>
          <w:rFonts w:asciiTheme="majorBidi" w:hAnsiTheme="majorBidi" w:cstheme="majorBidi"/>
          <w:b w:val="0"/>
          <w:bCs w:val="0"/>
          <w:color w:val="333333"/>
          <w:sz w:val="24"/>
          <w:szCs w:val="24"/>
        </w:rPr>
        <w:t xml:space="preserve"> inhibitors)</w:t>
      </w:r>
    </w:p>
    <w:p w:rsidR="00932332" w:rsidRPr="00C249C9" w:rsidRDefault="00932332" w:rsidP="00932332">
      <w:pPr>
        <w:numPr>
          <w:ilvl w:val="0"/>
          <w:numId w:val="11"/>
        </w:numPr>
        <w:spacing w:before="45" w:after="45" w:line="276" w:lineRule="auto"/>
        <w:ind w:left="375"/>
        <w:rPr>
          <w:rFonts w:asciiTheme="majorBidi" w:hAnsiTheme="majorBidi" w:cstheme="majorBidi"/>
          <w:color w:val="505051"/>
          <w:sz w:val="24"/>
          <w:szCs w:val="24"/>
        </w:rPr>
      </w:pPr>
      <w:r w:rsidRPr="00C249C9">
        <w:rPr>
          <w:rFonts w:asciiTheme="majorBidi" w:hAnsiTheme="majorBidi" w:cstheme="majorBidi"/>
          <w:color w:val="505051"/>
          <w:sz w:val="24"/>
          <w:szCs w:val="24"/>
        </w:rPr>
        <w:t>New anticoagulants:</w:t>
      </w:r>
    </w:p>
    <w:p w:rsidR="00932332" w:rsidRPr="00C249C9" w:rsidRDefault="00932332" w:rsidP="00932332">
      <w:pPr>
        <w:numPr>
          <w:ilvl w:val="1"/>
          <w:numId w:val="11"/>
        </w:numPr>
        <w:spacing w:before="45" w:after="45" w:line="276" w:lineRule="auto"/>
        <w:ind w:left="555"/>
        <w:rPr>
          <w:rFonts w:asciiTheme="majorBidi" w:hAnsiTheme="majorBidi" w:cstheme="majorBidi"/>
          <w:color w:val="656567"/>
          <w:sz w:val="24"/>
          <w:szCs w:val="24"/>
        </w:rPr>
      </w:pPr>
      <w:proofErr w:type="spellStart"/>
      <w:r w:rsidRPr="00C249C9">
        <w:rPr>
          <w:rStyle w:val="Strong"/>
          <w:rFonts w:asciiTheme="majorBidi" w:hAnsiTheme="majorBidi" w:cstheme="majorBidi"/>
          <w:color w:val="035EF6"/>
          <w:sz w:val="24"/>
          <w:szCs w:val="24"/>
        </w:rPr>
        <w:t>Apixaban</w:t>
      </w:r>
      <w:proofErr w:type="spellEnd"/>
      <w:r w:rsidRPr="00C249C9">
        <w:rPr>
          <w:rStyle w:val="Strong"/>
          <w:rFonts w:asciiTheme="majorBidi" w:hAnsiTheme="majorBidi" w:cstheme="majorBidi"/>
          <w:color w:val="035EF6"/>
          <w:sz w:val="24"/>
          <w:szCs w:val="24"/>
        </w:rPr>
        <w:t xml:space="preserve"> oral 5mg twice daily</w:t>
      </w:r>
    </w:p>
    <w:p w:rsidR="00932332" w:rsidRPr="00C249C9" w:rsidRDefault="00932332" w:rsidP="00932332">
      <w:pPr>
        <w:numPr>
          <w:ilvl w:val="1"/>
          <w:numId w:val="11"/>
        </w:numPr>
        <w:spacing w:before="45" w:after="45" w:line="276" w:lineRule="auto"/>
        <w:ind w:left="555"/>
        <w:rPr>
          <w:rFonts w:asciiTheme="majorBidi" w:hAnsiTheme="majorBidi" w:cstheme="majorBidi"/>
          <w:color w:val="656567"/>
          <w:sz w:val="24"/>
          <w:szCs w:val="24"/>
        </w:rPr>
      </w:pPr>
      <w:proofErr w:type="spellStart"/>
      <w:r w:rsidRPr="00C249C9">
        <w:rPr>
          <w:rStyle w:val="Strong"/>
          <w:rFonts w:asciiTheme="majorBidi" w:hAnsiTheme="majorBidi" w:cstheme="majorBidi"/>
          <w:color w:val="035EF6"/>
          <w:sz w:val="24"/>
          <w:szCs w:val="24"/>
        </w:rPr>
        <w:t>Dabigatran</w:t>
      </w:r>
      <w:proofErr w:type="spellEnd"/>
      <w:r w:rsidRPr="00C249C9">
        <w:rPr>
          <w:rStyle w:val="Strong"/>
          <w:rFonts w:asciiTheme="majorBidi" w:hAnsiTheme="majorBidi" w:cstheme="majorBidi"/>
          <w:color w:val="035EF6"/>
          <w:sz w:val="24"/>
          <w:szCs w:val="24"/>
        </w:rPr>
        <w:t xml:space="preserve"> oral 150mg twice daily</w:t>
      </w:r>
    </w:p>
    <w:p w:rsidR="00932332" w:rsidRPr="00C249C9" w:rsidRDefault="00932332" w:rsidP="00932332">
      <w:pPr>
        <w:numPr>
          <w:ilvl w:val="1"/>
          <w:numId w:val="11"/>
        </w:numPr>
        <w:spacing w:before="45" w:after="45" w:line="276" w:lineRule="auto"/>
        <w:ind w:left="555"/>
        <w:rPr>
          <w:rFonts w:asciiTheme="majorBidi" w:hAnsiTheme="majorBidi" w:cstheme="majorBidi"/>
          <w:color w:val="656567"/>
          <w:sz w:val="24"/>
          <w:szCs w:val="24"/>
        </w:rPr>
      </w:pPr>
      <w:proofErr w:type="spellStart"/>
      <w:r w:rsidRPr="00C249C9">
        <w:rPr>
          <w:rStyle w:val="Strong"/>
          <w:rFonts w:asciiTheme="majorBidi" w:hAnsiTheme="majorBidi" w:cstheme="majorBidi"/>
          <w:color w:val="035EF6"/>
          <w:sz w:val="24"/>
          <w:szCs w:val="24"/>
        </w:rPr>
        <w:t>Rivaroxaban</w:t>
      </w:r>
      <w:proofErr w:type="spellEnd"/>
      <w:r w:rsidRPr="00C249C9">
        <w:rPr>
          <w:rStyle w:val="Strong"/>
          <w:rFonts w:asciiTheme="majorBidi" w:hAnsiTheme="majorBidi" w:cstheme="majorBidi"/>
          <w:color w:val="035EF6"/>
          <w:sz w:val="24"/>
          <w:szCs w:val="24"/>
        </w:rPr>
        <w:t xml:space="preserve"> oral 20mg once daily</w:t>
      </w:r>
    </w:p>
    <w:p w:rsidR="00932332" w:rsidRDefault="00932332" w:rsidP="00932332">
      <w:pPr>
        <w:pStyle w:val="NormalWeb"/>
        <w:spacing w:before="0" w:beforeAutospacing="0" w:after="150" w:afterAutospacing="0" w:line="276" w:lineRule="auto"/>
        <w:ind w:left="375"/>
        <w:rPr>
          <w:rFonts w:asciiTheme="majorBidi" w:hAnsiTheme="majorBidi" w:cstheme="majorBidi"/>
          <w:color w:val="505051"/>
        </w:rPr>
      </w:pPr>
      <w:r w:rsidRPr="00C249C9">
        <w:rPr>
          <w:rFonts w:asciiTheme="majorBidi" w:hAnsiTheme="majorBidi" w:cstheme="majorBidi"/>
          <w:color w:val="505051"/>
        </w:rPr>
        <w:t xml:space="preserve">Doses may need to be reduced in some patients who have either low body weight (≤60kg), renal impairment or age ≥80 years </w:t>
      </w:r>
      <w:proofErr w:type="gramStart"/>
      <w:r w:rsidRPr="00C249C9">
        <w:rPr>
          <w:rFonts w:asciiTheme="majorBidi" w:hAnsiTheme="majorBidi" w:cstheme="majorBidi"/>
          <w:color w:val="505051"/>
        </w:rPr>
        <w:t>and</w:t>
      </w:r>
      <w:proofErr w:type="gramEnd"/>
      <w:r w:rsidRPr="00C249C9">
        <w:rPr>
          <w:rFonts w:asciiTheme="majorBidi" w:hAnsiTheme="majorBidi" w:cstheme="majorBidi"/>
          <w:color w:val="505051"/>
        </w:rPr>
        <w:t xml:space="preserve"> another risk factor. For details see NOAC Prescribing in Patients with Non-</w:t>
      </w:r>
      <w:proofErr w:type="spellStart"/>
      <w:r w:rsidRPr="00C249C9">
        <w:rPr>
          <w:rFonts w:asciiTheme="majorBidi" w:hAnsiTheme="majorBidi" w:cstheme="majorBidi"/>
          <w:color w:val="505051"/>
        </w:rPr>
        <w:t>Valvular</w:t>
      </w:r>
      <w:proofErr w:type="spellEnd"/>
      <w:r w:rsidRPr="00C249C9">
        <w:rPr>
          <w:rFonts w:asciiTheme="majorBidi" w:hAnsiTheme="majorBidi" w:cstheme="majorBidi"/>
          <w:color w:val="505051"/>
        </w:rPr>
        <w:t xml:space="preserve"> AF</w:t>
      </w:r>
    </w:p>
    <w:p w:rsidR="00932332" w:rsidRDefault="00932332" w:rsidP="00932332">
      <w:pPr>
        <w:pStyle w:val="NormalWeb"/>
        <w:spacing w:before="0" w:beforeAutospacing="0" w:after="150" w:afterAutospacing="0" w:line="276" w:lineRule="auto"/>
        <w:ind w:left="375"/>
        <w:rPr>
          <w:rStyle w:val="Strong"/>
          <w:rFonts w:asciiTheme="majorBidi" w:eastAsiaTheme="majorEastAsia" w:hAnsiTheme="majorBidi" w:cstheme="majorBidi"/>
          <w:color w:val="505051"/>
        </w:rPr>
      </w:pPr>
    </w:p>
    <w:p w:rsidR="00932332" w:rsidRDefault="00932332" w:rsidP="00932332">
      <w:pPr>
        <w:pStyle w:val="NormalWeb"/>
        <w:spacing w:before="0" w:beforeAutospacing="0" w:after="150" w:afterAutospacing="0" w:line="276" w:lineRule="auto"/>
        <w:ind w:left="375"/>
        <w:rPr>
          <w:rStyle w:val="Strong"/>
          <w:rFonts w:asciiTheme="majorBidi" w:eastAsiaTheme="majorEastAsia" w:hAnsiTheme="majorBidi" w:cstheme="majorBidi"/>
          <w:color w:val="505051"/>
        </w:rPr>
      </w:pPr>
    </w:p>
    <w:p w:rsidR="00932332" w:rsidRDefault="00932332" w:rsidP="00932332">
      <w:pPr>
        <w:pStyle w:val="NormalWeb"/>
        <w:spacing w:before="0" w:beforeAutospacing="0" w:after="150" w:afterAutospacing="0" w:line="276" w:lineRule="auto"/>
        <w:ind w:left="375"/>
        <w:rPr>
          <w:rStyle w:val="Strong"/>
          <w:rFonts w:asciiTheme="majorBidi" w:eastAsiaTheme="majorEastAsia" w:hAnsiTheme="majorBidi" w:cstheme="majorBidi"/>
          <w:color w:val="505051"/>
        </w:rPr>
      </w:pPr>
    </w:p>
    <w:p w:rsidR="00932332" w:rsidRDefault="00932332" w:rsidP="00932332">
      <w:pPr>
        <w:pStyle w:val="NormalWeb"/>
        <w:spacing w:before="0" w:beforeAutospacing="0" w:after="150" w:afterAutospacing="0" w:line="276" w:lineRule="auto"/>
        <w:ind w:left="375"/>
        <w:rPr>
          <w:rStyle w:val="Strong"/>
          <w:rFonts w:asciiTheme="majorBidi" w:eastAsiaTheme="majorEastAsia" w:hAnsiTheme="majorBidi" w:cstheme="majorBidi"/>
          <w:color w:val="505051"/>
        </w:rPr>
      </w:pPr>
    </w:p>
    <w:p w:rsidR="00932332" w:rsidRPr="00C249C9" w:rsidRDefault="00932332" w:rsidP="00932332">
      <w:pPr>
        <w:pStyle w:val="NormalWeb"/>
        <w:spacing w:before="0" w:beforeAutospacing="0" w:after="150" w:afterAutospacing="0" w:line="276" w:lineRule="auto"/>
        <w:ind w:left="375"/>
        <w:rPr>
          <w:rFonts w:asciiTheme="majorBidi" w:hAnsiTheme="majorBidi" w:cstheme="majorBidi"/>
          <w:color w:val="656567"/>
        </w:rPr>
      </w:pPr>
    </w:p>
    <w:p w:rsidR="00932332" w:rsidRPr="00C249C9" w:rsidRDefault="00932332" w:rsidP="00932332">
      <w:pPr>
        <w:pStyle w:val="Heading6"/>
        <w:shd w:val="clear" w:color="auto" w:fill="D5E4FE"/>
        <w:spacing w:before="300" w:after="150" w:line="276" w:lineRule="auto"/>
        <w:rPr>
          <w:rFonts w:asciiTheme="majorBidi" w:hAnsiTheme="majorBidi"/>
          <w:color w:val="035EF6"/>
          <w:sz w:val="24"/>
          <w:szCs w:val="24"/>
        </w:rPr>
      </w:pPr>
      <w:r w:rsidRPr="00C249C9">
        <w:rPr>
          <w:rFonts w:asciiTheme="majorBidi" w:hAnsiTheme="majorBidi"/>
          <w:b/>
          <w:bCs/>
          <w:color w:val="035EF6"/>
          <w:sz w:val="24"/>
          <w:szCs w:val="24"/>
        </w:rPr>
        <w:t>Digoxin</w:t>
      </w:r>
    </w:p>
    <w:p w:rsidR="00932332"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r w:rsidRPr="00C249C9">
        <w:rPr>
          <w:rFonts w:asciiTheme="majorBidi" w:hAnsiTheme="majorBidi" w:cstheme="majorBidi"/>
          <w:color w:val="505051"/>
        </w:rPr>
        <w:t xml:space="preserve">In frail elderly patient or patients with very low body weight, lower loading and maintenance doses than those advised below may be required. </w:t>
      </w:r>
    </w:p>
    <w:p w:rsidR="00932332" w:rsidRPr="00C249C9"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Loading dose – normal renal function:</w:t>
      </w:r>
    </w:p>
    <w:p w:rsidR="00932332" w:rsidRPr="00C249C9" w:rsidRDefault="00932332" w:rsidP="00932332">
      <w:pPr>
        <w:numPr>
          <w:ilvl w:val="0"/>
          <w:numId w:val="12"/>
        </w:numPr>
        <w:shd w:val="clear" w:color="auto" w:fill="D5E4FE"/>
        <w:spacing w:before="45" w:after="45" w:line="276" w:lineRule="auto"/>
        <w:ind w:left="375"/>
        <w:rPr>
          <w:rFonts w:asciiTheme="majorBidi" w:hAnsiTheme="majorBidi" w:cstheme="majorBidi"/>
          <w:color w:val="505051"/>
          <w:sz w:val="24"/>
          <w:szCs w:val="24"/>
        </w:rPr>
      </w:pPr>
      <w:r w:rsidRPr="00C249C9">
        <w:rPr>
          <w:rStyle w:val="Strong"/>
          <w:rFonts w:asciiTheme="majorBidi" w:hAnsiTheme="majorBidi" w:cstheme="majorBidi"/>
          <w:color w:val="035EF6"/>
          <w:sz w:val="24"/>
          <w:szCs w:val="24"/>
        </w:rPr>
        <w:lastRenderedPageBreak/>
        <w:t>Digoxin oral </w:t>
      </w:r>
      <w:r w:rsidRPr="00C249C9">
        <w:rPr>
          <w:rFonts w:asciiTheme="majorBidi" w:hAnsiTheme="majorBidi" w:cstheme="majorBidi"/>
          <w:color w:val="505051"/>
          <w:sz w:val="24"/>
          <w:szCs w:val="24"/>
        </w:rPr>
        <w:t>(preferred route) </w:t>
      </w:r>
      <w:r w:rsidRPr="00C249C9">
        <w:rPr>
          <w:rStyle w:val="Strong"/>
          <w:rFonts w:asciiTheme="majorBidi" w:hAnsiTheme="majorBidi" w:cstheme="majorBidi"/>
          <w:color w:val="035EF6"/>
          <w:sz w:val="24"/>
          <w:szCs w:val="24"/>
        </w:rPr>
        <w:t>500micrograms followed 6 hours later by 500–1000micrograms in divided doses &gt; 6 hours apart</w:t>
      </w:r>
      <w:r w:rsidRPr="00C249C9">
        <w:rPr>
          <w:rFonts w:asciiTheme="majorBidi" w:hAnsiTheme="majorBidi" w:cstheme="majorBidi"/>
          <w:color w:val="505051"/>
          <w:sz w:val="24"/>
          <w:szCs w:val="24"/>
        </w:rPr>
        <w:t> </w:t>
      </w:r>
      <w:r w:rsidRPr="00C249C9">
        <w:rPr>
          <w:rStyle w:val="Strong"/>
          <w:rFonts w:asciiTheme="majorBidi" w:hAnsiTheme="majorBidi" w:cstheme="majorBidi"/>
          <w:color w:val="505051"/>
          <w:sz w:val="24"/>
          <w:szCs w:val="24"/>
        </w:rPr>
        <w:t>or</w:t>
      </w:r>
    </w:p>
    <w:p w:rsidR="00932332" w:rsidRPr="00C249C9" w:rsidRDefault="00932332" w:rsidP="00932332">
      <w:pPr>
        <w:numPr>
          <w:ilvl w:val="0"/>
          <w:numId w:val="12"/>
        </w:numPr>
        <w:shd w:val="clear" w:color="auto" w:fill="D5E4FE"/>
        <w:spacing w:before="45" w:after="45" w:line="276" w:lineRule="auto"/>
        <w:ind w:left="375"/>
        <w:rPr>
          <w:rFonts w:asciiTheme="majorBidi" w:hAnsiTheme="majorBidi" w:cstheme="majorBidi"/>
          <w:color w:val="505051"/>
          <w:sz w:val="24"/>
          <w:szCs w:val="24"/>
        </w:rPr>
      </w:pPr>
      <w:r w:rsidRPr="00C249C9">
        <w:rPr>
          <w:rStyle w:val="Strong"/>
          <w:rFonts w:asciiTheme="majorBidi" w:hAnsiTheme="majorBidi" w:cstheme="majorBidi"/>
          <w:color w:val="035EF6"/>
          <w:sz w:val="24"/>
          <w:szCs w:val="24"/>
        </w:rPr>
        <w:t>Digoxin IV 500micrograms followed 6 hours later by 250–500micrograms in divided doses 4–6 hours apart.</w:t>
      </w:r>
    </w:p>
    <w:p w:rsidR="00932332" w:rsidRPr="00C249C9"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Loading dose – renal impairment</w:t>
      </w:r>
      <w:r w:rsidRPr="00C249C9">
        <w:rPr>
          <w:rFonts w:asciiTheme="majorBidi" w:hAnsiTheme="majorBidi" w:cstheme="majorBidi"/>
          <w:color w:val="505051"/>
        </w:rPr>
        <w:t> (creatinine clearance &lt;30ml/minute):</w:t>
      </w:r>
    </w:p>
    <w:p w:rsidR="00932332" w:rsidRPr="00C249C9" w:rsidRDefault="00932332" w:rsidP="00932332">
      <w:pPr>
        <w:numPr>
          <w:ilvl w:val="0"/>
          <w:numId w:val="13"/>
        </w:numPr>
        <w:shd w:val="clear" w:color="auto" w:fill="D5E4FE"/>
        <w:spacing w:before="45" w:after="45" w:line="276" w:lineRule="auto"/>
        <w:ind w:left="375"/>
        <w:rPr>
          <w:rFonts w:asciiTheme="majorBidi" w:hAnsiTheme="majorBidi" w:cstheme="majorBidi"/>
          <w:color w:val="505051"/>
          <w:sz w:val="24"/>
          <w:szCs w:val="24"/>
        </w:rPr>
      </w:pPr>
      <w:r w:rsidRPr="00C249C9">
        <w:rPr>
          <w:rStyle w:val="Strong"/>
          <w:rFonts w:asciiTheme="majorBidi" w:hAnsiTheme="majorBidi" w:cstheme="majorBidi"/>
          <w:color w:val="035EF6"/>
          <w:sz w:val="24"/>
          <w:szCs w:val="24"/>
        </w:rPr>
        <w:t>Digoxin oral </w:t>
      </w:r>
      <w:r w:rsidRPr="00C249C9">
        <w:rPr>
          <w:rFonts w:asciiTheme="majorBidi" w:hAnsiTheme="majorBidi" w:cstheme="majorBidi"/>
          <w:color w:val="505051"/>
          <w:sz w:val="24"/>
          <w:szCs w:val="24"/>
        </w:rPr>
        <w:t>(preferred route) </w:t>
      </w:r>
      <w:r w:rsidRPr="00C249C9">
        <w:rPr>
          <w:rStyle w:val="Strong"/>
          <w:rFonts w:asciiTheme="majorBidi" w:hAnsiTheme="majorBidi" w:cstheme="majorBidi"/>
          <w:color w:val="035EF6"/>
          <w:sz w:val="24"/>
          <w:szCs w:val="24"/>
        </w:rPr>
        <w:t>500micrograms followed 6 hours later by 250–375micrograms in divided doses &gt;6 hours apart</w:t>
      </w:r>
      <w:r w:rsidRPr="00C249C9">
        <w:rPr>
          <w:rFonts w:asciiTheme="majorBidi" w:hAnsiTheme="majorBidi" w:cstheme="majorBidi"/>
          <w:color w:val="505051"/>
          <w:sz w:val="24"/>
          <w:szCs w:val="24"/>
        </w:rPr>
        <w:t> </w:t>
      </w:r>
      <w:r w:rsidRPr="00C249C9">
        <w:rPr>
          <w:rStyle w:val="Strong"/>
          <w:rFonts w:asciiTheme="majorBidi" w:hAnsiTheme="majorBidi" w:cstheme="majorBidi"/>
          <w:color w:val="505051"/>
          <w:sz w:val="24"/>
          <w:szCs w:val="24"/>
        </w:rPr>
        <w:t>or</w:t>
      </w:r>
    </w:p>
    <w:p w:rsidR="00932332" w:rsidRPr="00C249C9" w:rsidRDefault="00932332" w:rsidP="00932332">
      <w:pPr>
        <w:numPr>
          <w:ilvl w:val="0"/>
          <w:numId w:val="13"/>
        </w:numPr>
        <w:shd w:val="clear" w:color="auto" w:fill="D5E4FE"/>
        <w:spacing w:before="45" w:after="45" w:line="276" w:lineRule="auto"/>
        <w:ind w:left="375"/>
        <w:rPr>
          <w:rFonts w:asciiTheme="majorBidi" w:hAnsiTheme="majorBidi" w:cstheme="majorBidi"/>
          <w:color w:val="505051"/>
          <w:sz w:val="24"/>
          <w:szCs w:val="24"/>
        </w:rPr>
      </w:pPr>
      <w:r w:rsidRPr="00C249C9">
        <w:rPr>
          <w:rStyle w:val="Strong"/>
          <w:rFonts w:asciiTheme="majorBidi" w:hAnsiTheme="majorBidi" w:cstheme="majorBidi"/>
          <w:color w:val="035EF6"/>
          <w:sz w:val="24"/>
          <w:szCs w:val="24"/>
        </w:rPr>
        <w:t>Digoxin IV 250–500micrograms</w:t>
      </w:r>
    </w:p>
    <w:p w:rsidR="00932332" w:rsidRPr="00C249C9"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N.B.</w:t>
      </w:r>
      <w:r w:rsidRPr="00C249C9">
        <w:rPr>
          <w:rFonts w:asciiTheme="majorBidi" w:hAnsiTheme="majorBidi" w:cstheme="majorBidi"/>
          <w:color w:val="505051"/>
        </w:rPr>
        <w:t> Digoxin injection: 25micrograms = 0.1ml. Additional loading doses may be required; give according to ventricular (heart rate) response.</w:t>
      </w:r>
    </w:p>
    <w:p w:rsidR="00932332" w:rsidRPr="00C249C9" w:rsidRDefault="00932332" w:rsidP="00932332">
      <w:pPr>
        <w:pStyle w:val="NormalWeb"/>
        <w:shd w:val="clear" w:color="auto" w:fill="D5E4FE"/>
        <w:spacing w:before="0" w:beforeAutospacing="0" w:after="150" w:afterAutospacing="0" w:line="276" w:lineRule="auto"/>
        <w:rPr>
          <w:rFonts w:asciiTheme="majorBidi" w:hAnsiTheme="majorBidi" w:cstheme="majorBidi"/>
          <w:color w:val="505051"/>
        </w:rPr>
      </w:pPr>
      <w:r w:rsidRPr="00C249C9">
        <w:rPr>
          <w:rStyle w:val="Strong"/>
          <w:rFonts w:asciiTheme="majorBidi" w:eastAsiaTheme="majorEastAsia" w:hAnsiTheme="majorBidi" w:cstheme="majorBidi"/>
          <w:color w:val="505051"/>
        </w:rPr>
        <w:t>Maintenance daily dose:</w:t>
      </w:r>
      <w:r w:rsidRPr="00C249C9">
        <w:rPr>
          <w:rFonts w:asciiTheme="majorBidi" w:hAnsiTheme="majorBidi" w:cstheme="majorBidi"/>
          <w:color w:val="505051"/>
        </w:rPr>
        <w:t> The tables below outline digoxin daily maintenance dosing for patients &lt;60kg (see table 2) and &gt;60kg (see table 3).</w:t>
      </w:r>
    </w:p>
    <w:p w:rsidR="00932332" w:rsidRDefault="00932332" w:rsidP="00932332">
      <w:pPr>
        <w:autoSpaceDE w:val="0"/>
        <w:autoSpaceDN w:val="0"/>
        <w:adjustRightInd w:val="0"/>
        <w:spacing w:after="0" w:line="276" w:lineRule="auto"/>
        <w:jc w:val="both"/>
        <w:rPr>
          <w:rFonts w:asciiTheme="majorBidi" w:hAnsiTheme="majorBidi" w:cstheme="majorBidi"/>
          <w:color w:val="000000"/>
          <w:sz w:val="20"/>
          <w:szCs w:val="20"/>
        </w:rPr>
      </w:pPr>
    </w:p>
    <w:p w:rsidR="00932332" w:rsidRDefault="00932332" w:rsidP="00932332">
      <w:pPr>
        <w:autoSpaceDE w:val="0"/>
        <w:autoSpaceDN w:val="0"/>
        <w:adjustRightInd w:val="0"/>
        <w:spacing w:after="0" w:line="276" w:lineRule="auto"/>
        <w:jc w:val="both"/>
        <w:rPr>
          <w:rFonts w:asciiTheme="majorBidi" w:hAnsiTheme="majorBidi" w:cstheme="majorBidi"/>
          <w:color w:val="000000"/>
          <w:sz w:val="20"/>
          <w:szCs w:val="20"/>
        </w:rPr>
      </w:pPr>
    </w:p>
    <w:p w:rsidR="00932332" w:rsidRPr="00F61194" w:rsidRDefault="00932332" w:rsidP="00932332">
      <w:pPr>
        <w:spacing w:line="276" w:lineRule="auto"/>
        <w:jc w:val="both"/>
        <w:rPr>
          <w:rFonts w:ascii="Times New Roman" w:eastAsia="Arial" w:hAnsi="Times New Roman" w:cs="Times New Roman"/>
          <w:color w:val="FF0000"/>
          <w:sz w:val="24"/>
          <w:szCs w:val="24"/>
        </w:rPr>
      </w:pPr>
    </w:p>
    <w:p w:rsidR="00932332" w:rsidRPr="00F61194" w:rsidRDefault="00932332" w:rsidP="00932332">
      <w:pPr>
        <w:autoSpaceDE w:val="0"/>
        <w:autoSpaceDN w:val="0"/>
        <w:adjustRightInd w:val="0"/>
        <w:spacing w:after="0" w:line="276" w:lineRule="auto"/>
        <w:jc w:val="both"/>
        <w:rPr>
          <w:rFonts w:asciiTheme="majorBidi" w:hAnsiTheme="majorBidi" w:cstheme="majorBidi"/>
          <w:color w:val="000000"/>
          <w:sz w:val="24"/>
          <w:szCs w:val="24"/>
        </w:rPr>
      </w:pPr>
      <w:r w:rsidRPr="00F61194">
        <w:rPr>
          <w:rFonts w:asciiTheme="majorBidi" w:hAnsiTheme="majorBidi" w:cstheme="majorBidi"/>
          <w:color w:val="000000"/>
          <w:sz w:val="24"/>
          <w:szCs w:val="24"/>
        </w:rPr>
        <w:t xml:space="preserve">Drugs to be reviewed in </w:t>
      </w:r>
      <w:proofErr w:type="spellStart"/>
      <w:r w:rsidRPr="00F61194">
        <w:rPr>
          <w:rFonts w:asciiTheme="majorBidi" w:hAnsiTheme="majorBidi" w:cstheme="majorBidi"/>
          <w:color w:val="000000"/>
          <w:sz w:val="24"/>
          <w:szCs w:val="24"/>
        </w:rPr>
        <w:t>bnf</w:t>
      </w:r>
      <w:proofErr w:type="spellEnd"/>
      <w:r w:rsidRPr="00F61194">
        <w:rPr>
          <w:rFonts w:asciiTheme="majorBidi" w:hAnsiTheme="majorBidi" w:cstheme="majorBidi"/>
          <w:color w:val="000000"/>
          <w:sz w:val="24"/>
          <w:szCs w:val="24"/>
        </w:rPr>
        <w:t>:</w:t>
      </w:r>
    </w:p>
    <w:p w:rsidR="00932332" w:rsidRPr="00F61194" w:rsidRDefault="00932332" w:rsidP="00932332">
      <w:pPr>
        <w:pStyle w:val="ListParagraph"/>
        <w:numPr>
          <w:ilvl w:val="0"/>
          <w:numId w:val="14"/>
        </w:numPr>
        <w:autoSpaceDE w:val="0"/>
        <w:autoSpaceDN w:val="0"/>
        <w:adjustRightInd w:val="0"/>
        <w:spacing w:after="0" w:line="276" w:lineRule="auto"/>
        <w:jc w:val="both"/>
        <w:rPr>
          <w:rFonts w:asciiTheme="majorBidi" w:hAnsiTheme="majorBidi" w:cstheme="majorBidi"/>
          <w:color w:val="000000"/>
          <w:sz w:val="24"/>
          <w:szCs w:val="24"/>
        </w:rPr>
      </w:pPr>
      <w:proofErr w:type="spellStart"/>
      <w:r w:rsidRPr="00F61194">
        <w:rPr>
          <w:rFonts w:asciiTheme="majorBidi" w:hAnsiTheme="majorBidi" w:cstheme="majorBidi"/>
          <w:color w:val="000000"/>
          <w:sz w:val="24"/>
          <w:szCs w:val="24"/>
        </w:rPr>
        <w:t>Bisoprolol</w:t>
      </w:r>
      <w:proofErr w:type="spellEnd"/>
    </w:p>
    <w:p w:rsidR="00932332" w:rsidRPr="00F61194" w:rsidRDefault="00932332" w:rsidP="00932332">
      <w:pPr>
        <w:pStyle w:val="ListParagraph"/>
        <w:numPr>
          <w:ilvl w:val="0"/>
          <w:numId w:val="14"/>
        </w:numPr>
        <w:autoSpaceDE w:val="0"/>
        <w:autoSpaceDN w:val="0"/>
        <w:adjustRightInd w:val="0"/>
        <w:spacing w:after="0" w:line="276" w:lineRule="auto"/>
        <w:jc w:val="both"/>
        <w:rPr>
          <w:rFonts w:asciiTheme="majorBidi" w:hAnsiTheme="majorBidi" w:cstheme="majorBidi"/>
          <w:color w:val="000000"/>
          <w:sz w:val="24"/>
          <w:szCs w:val="24"/>
        </w:rPr>
      </w:pPr>
      <w:r w:rsidRPr="00F61194">
        <w:rPr>
          <w:rFonts w:asciiTheme="majorBidi" w:hAnsiTheme="majorBidi" w:cstheme="majorBidi"/>
          <w:color w:val="000000"/>
          <w:sz w:val="24"/>
          <w:szCs w:val="24"/>
        </w:rPr>
        <w:t>Furosemide</w:t>
      </w:r>
    </w:p>
    <w:p w:rsidR="00932332" w:rsidRPr="00F61194" w:rsidRDefault="00932332" w:rsidP="00932332">
      <w:pPr>
        <w:pStyle w:val="ListParagraph"/>
        <w:numPr>
          <w:ilvl w:val="0"/>
          <w:numId w:val="14"/>
        </w:numPr>
        <w:autoSpaceDE w:val="0"/>
        <w:autoSpaceDN w:val="0"/>
        <w:adjustRightInd w:val="0"/>
        <w:spacing w:after="0" w:line="276" w:lineRule="auto"/>
        <w:jc w:val="both"/>
        <w:rPr>
          <w:rFonts w:asciiTheme="majorBidi" w:hAnsiTheme="majorBidi" w:cstheme="majorBidi"/>
          <w:color w:val="000000"/>
          <w:sz w:val="24"/>
          <w:szCs w:val="24"/>
        </w:rPr>
      </w:pPr>
      <w:proofErr w:type="spellStart"/>
      <w:r w:rsidRPr="00F61194">
        <w:rPr>
          <w:rFonts w:asciiTheme="majorBidi" w:hAnsiTheme="majorBidi" w:cstheme="majorBidi"/>
          <w:color w:val="000000"/>
          <w:sz w:val="24"/>
          <w:szCs w:val="24"/>
        </w:rPr>
        <w:t>Amiodarone</w:t>
      </w:r>
      <w:proofErr w:type="spellEnd"/>
    </w:p>
    <w:p w:rsidR="00932332" w:rsidRDefault="00932332" w:rsidP="00932332">
      <w:pPr>
        <w:autoSpaceDE w:val="0"/>
        <w:autoSpaceDN w:val="0"/>
        <w:adjustRightInd w:val="0"/>
        <w:spacing w:after="0" w:line="276" w:lineRule="auto"/>
        <w:jc w:val="both"/>
        <w:rPr>
          <w:rFonts w:asciiTheme="majorBidi" w:hAnsiTheme="majorBidi" w:cstheme="majorBidi"/>
          <w:color w:val="000000"/>
          <w:sz w:val="20"/>
          <w:szCs w:val="20"/>
        </w:rPr>
      </w:pPr>
    </w:p>
    <w:p w:rsidR="00B259B5" w:rsidRDefault="00B259B5">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E37"/>
    <w:multiLevelType w:val="multilevel"/>
    <w:tmpl w:val="CC2A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D2214"/>
    <w:multiLevelType w:val="multilevel"/>
    <w:tmpl w:val="FE4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559FF"/>
    <w:multiLevelType w:val="hybridMultilevel"/>
    <w:tmpl w:val="6DE2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37BC5"/>
    <w:multiLevelType w:val="multilevel"/>
    <w:tmpl w:val="10FE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140523"/>
    <w:multiLevelType w:val="multilevel"/>
    <w:tmpl w:val="8F3E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C7F79"/>
    <w:multiLevelType w:val="multilevel"/>
    <w:tmpl w:val="49D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60421"/>
    <w:multiLevelType w:val="multilevel"/>
    <w:tmpl w:val="1326D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D833BA"/>
    <w:multiLevelType w:val="multilevel"/>
    <w:tmpl w:val="58D8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219AA"/>
    <w:multiLevelType w:val="multilevel"/>
    <w:tmpl w:val="B3020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848E8"/>
    <w:multiLevelType w:val="multilevel"/>
    <w:tmpl w:val="4580B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10E6B"/>
    <w:multiLevelType w:val="multilevel"/>
    <w:tmpl w:val="7D4E9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A3379"/>
    <w:multiLevelType w:val="multilevel"/>
    <w:tmpl w:val="B47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74036"/>
    <w:multiLevelType w:val="multilevel"/>
    <w:tmpl w:val="14DA5A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B2B4B"/>
    <w:multiLevelType w:val="multilevel"/>
    <w:tmpl w:val="403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10"/>
  </w:num>
  <w:num w:numId="5">
    <w:abstractNumId w:val="6"/>
  </w:num>
  <w:num w:numId="6">
    <w:abstractNumId w:val="11"/>
  </w:num>
  <w:num w:numId="7">
    <w:abstractNumId w:val="13"/>
  </w:num>
  <w:num w:numId="8">
    <w:abstractNumId w:val="5"/>
  </w:num>
  <w:num w:numId="9">
    <w:abstractNumId w:val="8"/>
  </w:num>
  <w:num w:numId="10">
    <w:abstractNumId w:val="0"/>
  </w:num>
  <w:num w:numId="11">
    <w:abstractNumId w:val="9"/>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32"/>
    <w:rsid w:val="002F7502"/>
    <w:rsid w:val="00932332"/>
    <w:rsid w:val="00B25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493A5-95B8-4D76-A6EE-59851ADB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32"/>
  </w:style>
  <w:style w:type="paragraph" w:styleId="Heading1">
    <w:name w:val="heading 1"/>
    <w:basedOn w:val="Normal"/>
    <w:link w:val="Heading1Char"/>
    <w:uiPriority w:val="9"/>
    <w:qFormat/>
    <w:rsid w:val="009323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23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323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9323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3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23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23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2332"/>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932332"/>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32332"/>
    <w:pPr>
      <w:ind w:left="720"/>
      <w:contextualSpacing/>
    </w:pPr>
  </w:style>
  <w:style w:type="paragraph" w:styleId="NormalWeb">
    <w:name w:val="Normal (Web)"/>
    <w:basedOn w:val="Normal"/>
    <w:uiPriority w:val="99"/>
    <w:unhideWhenUsed/>
    <w:rsid w:val="009323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2332"/>
    <w:rPr>
      <w:color w:val="0000FF"/>
      <w:u w:val="single"/>
    </w:rPr>
  </w:style>
  <w:style w:type="character" w:styleId="Strong">
    <w:name w:val="Strong"/>
    <w:basedOn w:val="DefaultParagraphFont"/>
    <w:uiPriority w:val="22"/>
    <w:qFormat/>
    <w:rsid w:val="00932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ndbook.ggcmedicines.org.uk/api/guideline/4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2018-05-12T23:08:00Z</dcterms:created>
  <dcterms:modified xsi:type="dcterms:W3CDTF">2018-05-12T23:08:00Z</dcterms:modified>
</cp:coreProperties>
</file>