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65" w:rsidRPr="007F1E4F" w:rsidRDefault="00496965" w:rsidP="00995125">
      <w:pPr>
        <w:pStyle w:val="ListParagraph"/>
        <w:numPr>
          <w:ilvl w:val="0"/>
          <w:numId w:val="10"/>
        </w:numPr>
        <w:spacing w:after="120" w:line="360" w:lineRule="auto"/>
        <w:ind w:left="284" w:hanging="284"/>
        <w:contextualSpacing w:val="0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7F1E4F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val="en-US"/>
        </w:rPr>
        <w:t>Non-Hodgkin's lymphoma</w:t>
      </w:r>
    </w:p>
    <w:p w:rsidR="00496965" w:rsidRDefault="00496965" w:rsidP="006347E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6965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6347E2">
        <w:rPr>
          <w:rFonts w:asciiTheme="majorBidi" w:hAnsiTheme="majorBidi" w:cstheme="majorBidi"/>
          <w:sz w:val="24"/>
          <w:szCs w:val="24"/>
          <w:lang w:val="en-US"/>
        </w:rPr>
        <w:t xml:space="preserve">se are a large group of clonal </w:t>
      </w:r>
      <w:r w:rsidRPr="00496965">
        <w:rPr>
          <w:rFonts w:asciiTheme="majorBidi" w:hAnsiTheme="majorBidi" w:cstheme="majorBidi"/>
          <w:sz w:val="24"/>
          <w:szCs w:val="24"/>
          <w:lang w:val="en-US"/>
        </w:rPr>
        <w:t xml:space="preserve">lymphoid tumours, about 85% </w:t>
      </w:r>
      <w:r w:rsidR="003D55C7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Pr="00496965">
        <w:rPr>
          <w:rFonts w:asciiTheme="majorBidi" w:hAnsiTheme="majorBidi" w:cstheme="majorBidi"/>
          <w:sz w:val="24"/>
          <w:szCs w:val="24"/>
          <w:lang w:val="en-US"/>
        </w:rPr>
        <w:t>of B cell origin and</w:t>
      </w:r>
      <w:r w:rsidR="006347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96965">
        <w:rPr>
          <w:rFonts w:asciiTheme="majorBidi" w:hAnsiTheme="majorBidi" w:cstheme="majorBidi"/>
          <w:sz w:val="24"/>
          <w:szCs w:val="24"/>
          <w:lang w:val="en-US"/>
        </w:rPr>
        <w:t>15% of T or NK</w:t>
      </w:r>
      <w:r w:rsidR="006347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96965">
        <w:rPr>
          <w:rFonts w:asciiTheme="majorBidi" w:hAnsiTheme="majorBidi" w:cstheme="majorBidi"/>
          <w:sz w:val="24"/>
          <w:szCs w:val="24"/>
          <w:lang w:val="en-US"/>
        </w:rPr>
        <w:t>(natural killer) cell origin.</w:t>
      </w:r>
    </w:p>
    <w:p w:rsidR="00496965" w:rsidRDefault="00496965" w:rsidP="007F1E4F">
      <w:p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>-They are characterized by an irre</w:t>
      </w:r>
      <w:r w:rsidR="00142D4C">
        <w:rPr>
          <w:rFonts w:asciiTheme="majorBidi" w:eastAsia="Times New Roman" w:hAnsiTheme="majorBidi" w:cstheme="majorBidi"/>
          <w:sz w:val="24"/>
          <w:szCs w:val="24"/>
          <w:lang w:val="en-US"/>
        </w:rPr>
        <w:t>gular pattern of spread and a significant</w:t>
      </w: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proportion of patients develop extranodal disease.</w:t>
      </w:r>
    </w:p>
    <w:p w:rsidR="007F09C3" w:rsidRDefault="007F09C3" w:rsidP="007F1E4F">
      <w:p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7F09C3">
        <w:t xml:space="preserve"> </w:t>
      </w:r>
      <w:r w:rsidRPr="007F09C3">
        <w:rPr>
          <w:rFonts w:asciiTheme="majorBidi" w:eastAsia="Times New Roman" w:hAnsiTheme="majorBidi" w:cstheme="majorBidi"/>
          <w:sz w:val="24"/>
          <w:szCs w:val="24"/>
          <w:lang w:val="en-US"/>
        </w:rPr>
        <w:t>The aetiology of the majority of cases of non-Hodgkin lymphomas (NHL) is unknown although infectious agents are an important cause in particular subtypes</w:t>
      </w:r>
    </w:p>
    <w:p w:rsidR="007C589A" w:rsidRDefault="007C589A" w:rsidP="007F1E4F">
      <w:p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Table </w:t>
      </w:r>
      <w:r w:rsidRPr="007C589A">
        <w:rPr>
          <w:rFonts w:asciiTheme="majorBidi" w:eastAsia="Times New Roman" w:hAnsiTheme="majorBidi" w:cstheme="majorBidi"/>
          <w:sz w:val="24"/>
          <w:szCs w:val="24"/>
          <w:lang w:val="en-US"/>
        </w:rPr>
        <w:t>Infections associated with haemopoietic malignancies.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4739"/>
      </w:tblGrid>
      <w:tr w:rsidR="007C589A" w:rsidTr="007C589A">
        <w:tc>
          <w:tcPr>
            <w:tcW w:w="1809" w:type="dxa"/>
          </w:tcPr>
          <w:p w:rsidR="007C589A" w:rsidRP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I</w:t>
            </w:r>
            <w:r w:rsidR="007C589A"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nfection</w:t>
            </w:r>
          </w:p>
        </w:tc>
        <w:tc>
          <w:tcPr>
            <w:tcW w:w="2694" w:type="dxa"/>
          </w:tcPr>
          <w:p w:rsidR="007C589A" w:rsidRP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O</w:t>
            </w:r>
            <w:r w:rsidR="007C589A"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rganism</w:t>
            </w:r>
          </w:p>
        </w:tc>
        <w:tc>
          <w:tcPr>
            <w:tcW w:w="4739" w:type="dxa"/>
          </w:tcPr>
          <w:p w:rsidR="007C589A" w:rsidRP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="007C589A"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umour</w:t>
            </w:r>
          </w:p>
        </w:tc>
      </w:tr>
      <w:tr w:rsidR="00E65035" w:rsidTr="007C589A">
        <w:tc>
          <w:tcPr>
            <w:tcW w:w="1809" w:type="dxa"/>
            <w:vMerge w:val="restart"/>
          </w:tcPr>
          <w:p w:rsidR="00E65035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Virus</w:t>
            </w:r>
          </w:p>
        </w:tc>
        <w:tc>
          <w:tcPr>
            <w:tcW w:w="2694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HTLV–1</w:t>
            </w:r>
          </w:p>
        </w:tc>
        <w:tc>
          <w:tcPr>
            <w:tcW w:w="4739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Adult T-cell leukaemia/lymphoma</w:t>
            </w:r>
          </w:p>
        </w:tc>
      </w:tr>
      <w:tr w:rsidR="00E65035" w:rsidTr="007C589A">
        <w:tc>
          <w:tcPr>
            <w:tcW w:w="1809" w:type="dxa"/>
            <w:vMerge/>
          </w:tcPr>
          <w:p w:rsidR="00E65035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Epstein–Barr virus</w:t>
            </w:r>
          </w:p>
        </w:tc>
        <w:tc>
          <w:tcPr>
            <w:tcW w:w="4739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Burkitt and Hodgkin lymphomas; post-transpl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ant lymphoproliferative disease (</w:t>
            </w: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PTLD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</w:tr>
      <w:tr w:rsidR="00E65035" w:rsidTr="007C589A">
        <w:tc>
          <w:tcPr>
            <w:tcW w:w="1809" w:type="dxa"/>
            <w:vMerge/>
          </w:tcPr>
          <w:p w:rsidR="00E65035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7C589A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HHV–8</w:t>
            </w:r>
          </w:p>
        </w:tc>
        <w:tc>
          <w:tcPr>
            <w:tcW w:w="4739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Primary effusion lymphoma</w:t>
            </w:r>
          </w:p>
        </w:tc>
      </w:tr>
      <w:tr w:rsidR="00E65035" w:rsidTr="007C589A">
        <w:tc>
          <w:tcPr>
            <w:tcW w:w="1809" w:type="dxa"/>
            <w:vMerge/>
          </w:tcPr>
          <w:p w:rsidR="00E65035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HIV–1</w:t>
            </w:r>
          </w:p>
        </w:tc>
        <w:tc>
          <w:tcPr>
            <w:tcW w:w="4739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High-grade B-cell lymphoma, primary CNS lymphoma, Hodgkin lymphoma</w:t>
            </w:r>
          </w:p>
        </w:tc>
      </w:tr>
      <w:tr w:rsidR="00E65035" w:rsidTr="007C589A">
        <w:tc>
          <w:tcPr>
            <w:tcW w:w="1809" w:type="dxa"/>
            <w:vMerge/>
          </w:tcPr>
          <w:p w:rsidR="00E65035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Hepatitis C</w:t>
            </w:r>
          </w:p>
        </w:tc>
        <w:tc>
          <w:tcPr>
            <w:tcW w:w="4739" w:type="dxa"/>
          </w:tcPr>
          <w:p w:rsidR="00E65035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Marginal zone lymphoma</w:t>
            </w:r>
          </w:p>
        </w:tc>
      </w:tr>
      <w:tr w:rsidR="007C589A" w:rsidTr="007C589A">
        <w:tc>
          <w:tcPr>
            <w:tcW w:w="1809" w:type="dxa"/>
          </w:tcPr>
          <w:p w:rsidR="007C589A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Bacteria</w:t>
            </w:r>
          </w:p>
        </w:tc>
        <w:tc>
          <w:tcPr>
            <w:tcW w:w="2694" w:type="dxa"/>
          </w:tcPr>
          <w:p w:rsidR="007C589A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Helicobacter pylori</w:t>
            </w:r>
          </w:p>
        </w:tc>
        <w:tc>
          <w:tcPr>
            <w:tcW w:w="4739" w:type="dxa"/>
          </w:tcPr>
          <w:p w:rsidR="007C589A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Gastric lymphoma (mucosa-associated lymphoid tissue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MALT)</w:t>
            </w:r>
          </w:p>
        </w:tc>
      </w:tr>
      <w:tr w:rsidR="007C589A" w:rsidTr="007C589A">
        <w:tc>
          <w:tcPr>
            <w:tcW w:w="1809" w:type="dxa"/>
          </w:tcPr>
          <w:p w:rsidR="007C589A" w:rsidRPr="00E65035" w:rsidRDefault="00E65035" w:rsidP="00E65035">
            <w:pPr>
              <w:spacing w:before="120" w:after="12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Protozoa</w:t>
            </w:r>
          </w:p>
        </w:tc>
        <w:tc>
          <w:tcPr>
            <w:tcW w:w="2694" w:type="dxa"/>
          </w:tcPr>
          <w:p w:rsidR="007C589A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Malaria</w:t>
            </w:r>
          </w:p>
        </w:tc>
        <w:tc>
          <w:tcPr>
            <w:tcW w:w="4739" w:type="dxa"/>
          </w:tcPr>
          <w:p w:rsidR="007C589A" w:rsidRDefault="00E65035" w:rsidP="00E65035">
            <w:pPr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6503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Burkitt lymphoma</w:t>
            </w:r>
          </w:p>
        </w:tc>
      </w:tr>
    </w:tbl>
    <w:p w:rsidR="007C589A" w:rsidRDefault="007C589A" w:rsidP="007F1E4F">
      <w:pPr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F17ABA" w:rsidRPr="00F17ABA" w:rsidRDefault="00F17ABA" w:rsidP="00F17ABA">
      <w:pPr>
        <w:spacing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</w:pPr>
      <w:r w:rsidRPr="00F17AB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>Cell of origin:</w:t>
      </w:r>
    </w:p>
    <w:p w:rsidR="00F17ABA" w:rsidRPr="00F17ABA" w:rsidRDefault="00F17ABA" w:rsidP="00F17ABA">
      <w:pPr>
        <w:spacing w:after="12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17ABA">
        <w:rPr>
          <w:rFonts w:asciiTheme="majorBidi" w:eastAsia="Times New Roman" w:hAnsiTheme="majorBidi" w:cstheme="majorBidi"/>
          <w:sz w:val="24"/>
          <w:szCs w:val="24"/>
          <w:lang w:val="en-US"/>
        </w:rPr>
        <w:t>▪ B-cell lymphomas tend to mimic normal B cells at different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17ABA">
        <w:rPr>
          <w:rFonts w:asciiTheme="majorBidi" w:eastAsia="Times New Roman" w:hAnsiTheme="majorBidi" w:cstheme="majorBidi"/>
          <w:sz w:val="24"/>
          <w:szCs w:val="24"/>
          <w:lang w:val="en-US"/>
        </w:rPr>
        <w:t>stages of development.</w:t>
      </w:r>
    </w:p>
    <w:p w:rsidR="00F17ABA" w:rsidRDefault="00F17ABA" w:rsidP="00F17ABA">
      <w:pPr>
        <w:spacing w:after="120" w:line="36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17ABA">
        <w:rPr>
          <w:rFonts w:asciiTheme="majorBidi" w:eastAsia="Times New Roman" w:hAnsiTheme="majorBidi" w:cstheme="majorBidi"/>
          <w:sz w:val="24"/>
          <w:szCs w:val="24"/>
          <w:lang w:val="en-US"/>
        </w:rPr>
        <w:t>▪ T-cell lymphomas resemble precursor T cells in bone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17ABA">
        <w:rPr>
          <w:rFonts w:asciiTheme="majorBidi" w:eastAsia="Times New Roman" w:hAnsiTheme="majorBidi" w:cstheme="majorBidi"/>
          <w:sz w:val="24"/>
          <w:szCs w:val="24"/>
          <w:lang w:val="en-US"/>
        </w:rPr>
        <w:t>marrow or thymus,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17ABA">
        <w:rPr>
          <w:rFonts w:asciiTheme="majorBidi" w:eastAsia="Times New Roman" w:hAnsiTheme="majorBidi" w:cstheme="majorBidi"/>
          <w:sz w:val="24"/>
          <w:szCs w:val="24"/>
          <w:lang w:val="en-US"/>
        </w:rPr>
        <w:t>or peripheral mature T cells.</w:t>
      </w:r>
    </w:p>
    <w:p w:rsidR="00F17ABA" w:rsidRDefault="00F17ABA" w:rsidP="007F1E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</w:pPr>
    </w:p>
    <w:p w:rsidR="001B7D61" w:rsidRDefault="001B7D61" w:rsidP="007F1E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</w:pPr>
    </w:p>
    <w:p w:rsidR="007F1E4F" w:rsidRPr="007F1E4F" w:rsidRDefault="007F1E4F" w:rsidP="007F1E4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bidi="ar-IQ"/>
        </w:rPr>
      </w:pPr>
      <w:r w:rsidRPr="007F1E4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  <w:lastRenderedPageBreak/>
        <w:t xml:space="preserve">Classification of </w:t>
      </w:r>
      <w:r w:rsidR="001B7D61" w:rsidRPr="007F1E4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  <w:t>non-Hodgkin</w:t>
      </w:r>
      <w:r w:rsidRPr="007F1E4F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  <w:t xml:space="preserve"> lymphoma:</w:t>
      </w:r>
    </w:p>
    <w:p w:rsidR="007F1E4F" w:rsidRPr="007F1E4F" w:rsidRDefault="007F1E4F" w:rsidP="007F1E4F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The lymphomas are classified within a group of mature B-cell and T-cell neoplasm.</w:t>
      </w:r>
    </w:p>
    <w:p w:rsidR="00496965" w:rsidRPr="00496965" w:rsidRDefault="00496965" w:rsidP="006347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>For many years clinicians have subdivided lymphomas into low</w:t>
      </w:r>
      <w:r w:rsidR="006347E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>and high-grade disease.</w:t>
      </w:r>
    </w:p>
    <w:p w:rsidR="00496965" w:rsidRDefault="00496965" w:rsidP="006347E2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>-In general terms, the low</w:t>
      </w:r>
      <w:r w:rsidR="006347E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496965">
        <w:rPr>
          <w:rFonts w:asciiTheme="majorBidi" w:eastAsia="Times New Roman" w:hAnsiTheme="majorBidi" w:cstheme="majorBidi"/>
          <w:sz w:val="24"/>
          <w:szCs w:val="24"/>
          <w:lang w:val="en-US"/>
        </w:rPr>
        <w:t>grade disorders are relatively indolent, respond well to chemotherapy but are very difficult to cure whereas high-grade lymphomas are aggressive and need urgent treatment but are often curable.</w:t>
      </w:r>
    </w:p>
    <w:p w:rsidR="007F1E4F" w:rsidRPr="007F1E4F" w:rsidRDefault="007F1E4F" w:rsidP="007F1E4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-</w:t>
      </w:r>
      <w:r w:rsidRPr="007F1E4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 xml:space="preserve">Low grade lymphoma: </w:t>
      </w: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e.g.                                             </w:t>
      </w:r>
    </w:p>
    <w:p w:rsidR="007F1E4F" w:rsidRPr="007F1E4F" w:rsidRDefault="007F1E4F" w:rsidP="007F1E4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 w:rsidRPr="007F1E4F"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Follicular</w:t>
      </w: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lymphoma, mantle cell lymphoma.</w:t>
      </w:r>
    </w:p>
    <w:p w:rsidR="007F1E4F" w:rsidRPr="007F1E4F" w:rsidRDefault="007F1E4F" w:rsidP="007F1E4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-</w:t>
      </w:r>
      <w:r w:rsidRPr="007F1E4F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High Grade Lymphoma</w:t>
      </w: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e. g. </w:t>
      </w:r>
    </w:p>
    <w:p w:rsidR="007F1E4F" w:rsidRDefault="007F1E4F" w:rsidP="007F1E4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7F1E4F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Diffuse Large B-Cell Lymphoma, Burkitt’s lymphoma </w:t>
      </w:r>
    </w:p>
    <w:p w:rsidR="00A20E06" w:rsidRDefault="00A20E06" w:rsidP="007F1E4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IQ"/>
        </w:rPr>
      </w:pPr>
      <w:r w:rsidRPr="00A20E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IQ"/>
        </w:rPr>
        <w:t>Th</w:t>
      </w:r>
      <w:r w:rsidR="00FA5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bidi="ar-IQ"/>
        </w:rPr>
        <w:t>e WHO Classification of lymphoid neoplasms</w:t>
      </w:r>
    </w:p>
    <w:p w:rsidR="00A20E06" w:rsidRPr="00FA599E" w:rsidRDefault="00FA599E" w:rsidP="00FA599E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FA599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The World Health Organization (WHO) classification of lymphoid neoplasms consider</w:t>
      </w:r>
      <w:r w:rsidR="00A77230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s the morphology, cell of origi</w:t>
      </w:r>
      <w:r w:rsidRPr="00FA599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n (</w:t>
      </w:r>
      <w:r w:rsidR="00A77230" w:rsidRPr="00FA599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determined</w:t>
      </w:r>
      <w:r w:rsidRPr="00FA599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by immunophenotyping), clinical features, and genotype (e.g., karyotype, presence of viral genomes) of each entity.     </w:t>
      </w:r>
      <w:r w:rsidR="00A20E06" w:rsidRPr="00FA599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 </w:t>
      </w:r>
    </w:p>
    <w:p w:rsidR="00A20E06" w:rsidRDefault="00A20E06" w:rsidP="00995125">
      <w:pPr>
        <w:pStyle w:val="ListParagraph"/>
        <w:numPr>
          <w:ilvl w:val="0"/>
          <w:numId w:val="17"/>
        </w:numPr>
        <w:spacing w:after="12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Hodgkin lymphoma.</w:t>
      </w:r>
    </w:p>
    <w:p w:rsidR="00A20E06" w:rsidRDefault="00A20E06" w:rsidP="00895217">
      <w:pPr>
        <w:pStyle w:val="ListParagraph"/>
        <w:numPr>
          <w:ilvl w:val="0"/>
          <w:numId w:val="17"/>
        </w:numPr>
        <w:spacing w:after="12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Non-Hodgkin</w:t>
      </w:r>
      <w:r w:rsidR="00895217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’</w:t>
      </w: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s lymphoma</w:t>
      </w:r>
    </w:p>
    <w:p w:rsidR="00A20E06" w:rsidRDefault="00A20E06" w:rsidP="00995125">
      <w:pPr>
        <w:pStyle w:val="ListParagraph"/>
        <w:numPr>
          <w:ilvl w:val="1"/>
          <w:numId w:val="17"/>
        </w:numPr>
        <w:spacing w:after="12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Precursor B-cell neoplasms (neoplasms of immature B</w:t>
      </w: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cells) </w:t>
      </w:r>
    </w:p>
    <w:p w:rsidR="00A20E06" w:rsidRDefault="00A20E06" w:rsidP="00995125">
      <w:pPr>
        <w:pStyle w:val="ListParagraph"/>
        <w:numPr>
          <w:ilvl w:val="1"/>
          <w:numId w:val="17"/>
        </w:numPr>
        <w:spacing w:after="12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Peripheral B-cell neoplasms (neoplasms of mature B cells) </w:t>
      </w:r>
    </w:p>
    <w:p w:rsidR="00A20E06" w:rsidRDefault="00A20E06" w:rsidP="00995125">
      <w:pPr>
        <w:pStyle w:val="ListParagraph"/>
        <w:numPr>
          <w:ilvl w:val="1"/>
          <w:numId w:val="17"/>
        </w:numPr>
        <w:spacing w:after="12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Precursor T-cell neoplasms (neoplasms of immature T cells) </w:t>
      </w:r>
    </w:p>
    <w:p w:rsidR="00A20E06" w:rsidRDefault="00A20E06" w:rsidP="00995125">
      <w:pPr>
        <w:pStyle w:val="ListParagraph"/>
        <w:numPr>
          <w:ilvl w:val="1"/>
          <w:numId w:val="17"/>
        </w:numPr>
        <w:spacing w:after="12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Peripheral T-cell and NK-cell neoplasms (neoplasms of</w:t>
      </w: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mature T cells and NK cells)</w:t>
      </w:r>
    </w:p>
    <w:p w:rsidR="00A20E06" w:rsidRDefault="00A20E06" w:rsidP="00A20E06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PERIPHERAL B-CELL NEOPLASMS</w:t>
      </w:r>
    </w:p>
    <w:p w:rsidR="00A20E06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Chronic lymphocytic leukemia/small lymphocytic lymphoma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B-cell</w:t>
      </w:r>
      <w:r w:rsidRPr="00D45892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prolymphocytic </w:t>
      </w:r>
      <w:r w:rsidRPr="00A20E0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leukemia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Lymphoplasmacytic lymphoma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Splenic and nodal marginal zone lymp</w:t>
      </w:r>
      <w:r w:rsidR="001D553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homa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Ex</w:t>
      </w:r>
      <w:r w:rsid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tranodal marginal zone lymphoma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Mantle cell lymphoma </w:t>
      </w:r>
    </w:p>
    <w:p w:rsidR="00A4316B" w:rsidRPr="00D45892" w:rsidRDefault="00A20E06" w:rsidP="00D4589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Follicular lymphoma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Hairy cell leukemia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Plasmacytoma/plasma cell myeloma </w:t>
      </w:r>
    </w:p>
    <w:p w:rsidR="00A4316B" w:rsidRDefault="00A20E06" w:rsidP="00995125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lastRenderedPageBreak/>
        <w:t xml:space="preserve">Diffuse large B-cell lymphoma </w:t>
      </w:r>
    </w:p>
    <w:p w:rsidR="00A20E06" w:rsidRDefault="00A20E06" w:rsidP="00F214BD">
      <w:pPr>
        <w:pStyle w:val="ListParagraph"/>
        <w:numPr>
          <w:ilvl w:val="0"/>
          <w:numId w:val="18"/>
        </w:numPr>
        <w:spacing w:after="120" w:line="360" w:lineRule="auto"/>
        <w:ind w:left="958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Burkitt lymphoma</w:t>
      </w:r>
    </w:p>
    <w:p w:rsidR="00A4316B" w:rsidRDefault="00A4316B" w:rsidP="00A431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PERIPHERAL T-CELL AND NK-CELL NEOPLASMS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T-cell prolymphocytic leukemia </w:t>
      </w:r>
    </w:p>
    <w:p w:rsidR="00A4316B" w:rsidRDefault="00D45892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T-cell</w:t>
      </w:r>
      <w:r w:rsid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granular lymphocytic leukemia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Mycosis fungoides/Sézary syndrome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Peripheral T-cell lymphoma, unspecified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Anaplastic large-cell lymphoma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Angioimmunoblastic T-cell lymphoma </w:t>
      </w:r>
    </w:p>
    <w:p w:rsidR="00A4316B" w:rsidRDefault="00D95B7F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Enteropathy-type</w:t>
      </w:r>
      <w:r w:rsidR="00A4316B"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T-cell lymphoma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Panniculitis-like T-cell lymphoma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Hepatosplenic γδ T-cell lymphoma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Adult T-cell leukemia/lymphoma </w:t>
      </w:r>
    </w:p>
    <w:p w:rsidR="00A4316B" w:rsidRDefault="00A4316B" w:rsidP="00995125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Extranodal NK/T-cell lymphoma </w:t>
      </w:r>
    </w:p>
    <w:p w:rsidR="007930A7" w:rsidRDefault="00D95B7F" w:rsidP="00D95B7F">
      <w:pPr>
        <w:pStyle w:val="ListParagraph"/>
        <w:numPr>
          <w:ilvl w:val="0"/>
          <w:numId w:val="19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D95B7F">
        <w:rPr>
          <w:rFonts w:ascii="Times New Roman" w:eastAsia="Times New Roman" w:hAnsi="Times New Roman" w:cs="Times New Roman"/>
          <w:sz w:val="24"/>
          <w:szCs w:val="24"/>
          <w:lang w:bidi="ar-IQ"/>
        </w:rPr>
        <w:t>Aggressive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="00A4316B" w:rsidRPr="00A4316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NK-cell leukemia</w:t>
      </w:r>
    </w:p>
    <w:p w:rsidR="007930A7" w:rsidRPr="00947E54" w:rsidRDefault="007930A7" w:rsidP="00995125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</w:pPr>
      <w:r w:rsidRPr="00947E5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Some neoplasms are common and collectively make up the vast majority of lymphoid neoplasm (more than 90%),</w:t>
      </w:r>
    </w:p>
    <w:p w:rsidR="007930A7" w:rsidRPr="007930A7" w:rsidRDefault="007930A7" w:rsidP="007930A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</w:pPr>
      <w:r w:rsidRPr="007930A7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these include</w:t>
      </w:r>
    </w:p>
    <w:p w:rsidR="007930A7" w:rsidRPr="007930A7" w:rsidRDefault="007930A7" w:rsidP="00793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7930A7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1. Precursor B- and T-cell lymphoblastic leukemia/lymphoma</w:t>
      </w:r>
      <w:r w:rsidR="00FF7264" w:rsidRPr="00FF7264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—commonly called acute lymphoblastic leukemia (ALL)</w:t>
      </w:r>
    </w:p>
    <w:p w:rsidR="007930A7" w:rsidRPr="007930A7" w:rsidRDefault="007930A7" w:rsidP="00793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7930A7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2. Small lymphocytic lymphoma/chronic lymphocytic leukemia (SLL/CLL)</w:t>
      </w:r>
    </w:p>
    <w:p w:rsidR="007930A7" w:rsidRDefault="007930A7" w:rsidP="00793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7930A7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3. Follicular lymphoma</w:t>
      </w:r>
    </w:p>
    <w:p w:rsidR="0013087B" w:rsidRPr="0013087B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4. Mantle cell lymphoma </w:t>
      </w:r>
    </w:p>
    <w:p w:rsidR="0013087B" w:rsidRPr="0013087B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5. Extranodal marginal zone lymphoma</w:t>
      </w:r>
    </w:p>
    <w:p w:rsidR="0013087B" w:rsidRPr="0013087B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6. Diffuse large B-cell lymphomas</w:t>
      </w:r>
    </w:p>
    <w:p w:rsidR="0013087B" w:rsidRPr="0013087B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7. Burkitt’s lymphoma</w:t>
      </w:r>
    </w:p>
    <w:p w:rsidR="0013087B" w:rsidRPr="0013087B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8. Multiple myeloma and related plasma cell dyscrasias</w:t>
      </w:r>
    </w:p>
    <w:p w:rsidR="007930A7" w:rsidRPr="007930A7" w:rsidRDefault="0013087B" w:rsidP="001308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 w:rsidRPr="0013087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9. Hodgkin lymphoma</w:t>
      </w:r>
    </w:p>
    <w:p w:rsidR="00496965" w:rsidRPr="007F1E4F" w:rsidRDefault="00496965" w:rsidP="006347E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7F1E4F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Clinical features of non-Hodgkin's lymphomas:</w:t>
      </w:r>
    </w:p>
    <w:p w:rsidR="006347E2" w:rsidRDefault="003D55C7" w:rsidP="00995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Super</w:t>
      </w:r>
      <w:r w:rsidR="00496965"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ficial lymphadenopathy</w:t>
      </w:r>
      <w:r w:rsidR="00496965" w:rsidRPr="006347E2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:</w:t>
      </w:r>
      <w:r w:rsidR="00496965"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asymmetric painless enlargement</w:t>
      </w:r>
      <w:r w:rsidR="00496965" w:rsidRPr="006347E2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="00496965"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>of lymph nodes in one or more peripheral lymph node regions.</w:t>
      </w:r>
    </w:p>
    <w:p w:rsidR="006347E2" w:rsidRDefault="00496965" w:rsidP="00995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Constitutional symptoms </w:t>
      </w:r>
      <w:r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>Fever, night sweats and weight loss occur less frequently than in Hodgkin's disease.</w:t>
      </w:r>
    </w:p>
    <w:p w:rsidR="006347E2" w:rsidRDefault="00496965" w:rsidP="00995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lastRenderedPageBreak/>
        <w:t>Oropharyngeal involvement</w:t>
      </w:r>
      <w:r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6347E2" w:rsidRDefault="00496965" w:rsidP="00995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Features due to </w:t>
      </w:r>
      <w:r w:rsidR="00EF6652"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>naemia, neutropenia or thrombocytopenia.</w:t>
      </w:r>
    </w:p>
    <w:p w:rsidR="00496965" w:rsidRDefault="003D55C7" w:rsidP="00F214B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142" w:hanging="142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Organs</w:t>
      </w:r>
      <w:r w:rsidR="00496965" w:rsidRPr="006347E2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 w:rsidR="00496965"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>involvement,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96965" w:rsidRPr="006347E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liver and spleen are often enlarged. </w:t>
      </w:r>
      <w:r w:rsidR="00496965" w:rsidRPr="00EF6652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The gastrointestinal tract is the most commonly involved extranodal site after the bone marrow.</w:t>
      </w: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96965" w:rsidRPr="00EF6652">
        <w:rPr>
          <w:rFonts w:asciiTheme="majorBidi" w:eastAsia="Times New Roman" w:hAnsiTheme="majorBidi" w:cstheme="majorBidi"/>
          <w:sz w:val="24"/>
          <w:szCs w:val="24"/>
          <w:lang w:val="en-US"/>
        </w:rPr>
        <w:t>Also Skin, brain, testis or thyroid can be involved.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F6652" w:rsidTr="00E82A60">
        <w:tc>
          <w:tcPr>
            <w:tcW w:w="9242" w:type="dxa"/>
            <w:gridSpan w:val="2"/>
          </w:tcPr>
          <w:p w:rsidR="00EF6652" w:rsidRPr="00EF6652" w:rsidRDefault="00EF6652" w:rsidP="00EF665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F66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Clinical Differences Between Hodgkin and Non-Hodgkin Lymphomas:</w:t>
            </w:r>
          </w:p>
        </w:tc>
      </w:tr>
      <w:tr w:rsidR="00EF6652" w:rsidTr="00EF6652">
        <w:tc>
          <w:tcPr>
            <w:tcW w:w="4621" w:type="dxa"/>
          </w:tcPr>
          <w:p w:rsidR="00EF6652" w:rsidRDefault="00EF6652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F66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Hodgkin Lymphoma</w:t>
            </w:r>
          </w:p>
        </w:tc>
        <w:tc>
          <w:tcPr>
            <w:tcW w:w="4621" w:type="dxa"/>
          </w:tcPr>
          <w:p w:rsidR="00EF6652" w:rsidRDefault="00EF6652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F665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Non-Hodgkin Lymphoma</w:t>
            </w:r>
          </w:p>
        </w:tc>
      </w:tr>
      <w:tr w:rsidR="00EF6652" w:rsidTr="00EF6652">
        <w:tc>
          <w:tcPr>
            <w:tcW w:w="4621" w:type="dxa"/>
          </w:tcPr>
          <w:p w:rsidR="00EF6652" w:rsidRDefault="00EF6652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EF665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1. More often localized to a single axial group of nodes (cervical, mediastinal, para-aortic</w:t>
            </w:r>
          </w:p>
        </w:tc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1.More frequent involvement of multiple peripheral nodes</w:t>
            </w:r>
          </w:p>
        </w:tc>
      </w:tr>
      <w:tr w:rsidR="00EF6652" w:rsidTr="00EF6652"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2. Orderly spread by contiguity</w:t>
            </w:r>
          </w:p>
        </w:tc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2.Noncontiguous spread</w:t>
            </w:r>
          </w:p>
        </w:tc>
      </w:tr>
      <w:tr w:rsidR="00EF6652" w:rsidTr="00EF6652"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3. Mesenteric nodes and Waldeyer ring rarely involved</w:t>
            </w:r>
          </w:p>
        </w:tc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3.Mesenteric nodes and Waldeyer ring commonly involved</w:t>
            </w:r>
          </w:p>
        </w:tc>
      </w:tr>
      <w:tr w:rsidR="00EF6652" w:rsidTr="00EF6652"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4.</w:t>
            </w:r>
            <w:r w:rsidR="0078504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Extranodal involvement uncommon</w:t>
            </w:r>
          </w:p>
        </w:tc>
        <w:tc>
          <w:tcPr>
            <w:tcW w:w="4621" w:type="dxa"/>
          </w:tcPr>
          <w:p w:rsidR="00EF6652" w:rsidRDefault="00B237BC" w:rsidP="00B237B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4.</w:t>
            </w:r>
            <w:r w:rsidR="0078504D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237BC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Extranodal involvement common</w:t>
            </w:r>
          </w:p>
        </w:tc>
      </w:tr>
    </w:tbl>
    <w:p w:rsidR="00EF6652" w:rsidRDefault="00EF6652" w:rsidP="00EF665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8D0C41" w:rsidRPr="008D0C41" w:rsidRDefault="008D0C41" w:rsidP="008D0C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val="en-US" w:bidi="ar-IQ"/>
        </w:rPr>
      </w:pPr>
      <w:r w:rsidRPr="008D0C41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IQ"/>
        </w:rPr>
        <w:t>Investigations</w:t>
      </w:r>
      <w:r w:rsidRPr="008D0C41">
        <w:rPr>
          <w:rFonts w:ascii="Times New Roman" w:eastAsia="Times New Roman" w:hAnsi="Times New Roman" w:cs="Times New Roman"/>
          <w:sz w:val="28"/>
          <w:szCs w:val="28"/>
          <w:lang w:val="en-US" w:bidi="ar-IQ"/>
        </w:rPr>
        <w:t xml:space="preserve"> </w:t>
      </w:r>
    </w:p>
    <w:p w:rsidR="008D0C41" w:rsidRPr="00CE52C6" w:rsidRDefault="008D0C41" w:rsidP="00995125">
      <w:pPr>
        <w:pStyle w:val="ListParagraph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 w:rsidRPr="00CE52C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Histology</w:t>
      </w:r>
      <w:r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</w:p>
    <w:p w:rsidR="00CE52C6" w:rsidRDefault="008D0C41" w:rsidP="0026097E">
      <w:pPr>
        <w:pStyle w:val="ListParagraph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Lymph node biopsy </w:t>
      </w:r>
      <w:r w:rsidR="0026097E" w:rsidRPr="0026097E">
        <w:rPr>
          <w:rFonts w:ascii="Times New Roman" w:eastAsia="Times New Roman" w:hAnsi="Times New Roman" w:cs="Times New Roman"/>
          <w:sz w:val="24"/>
          <w:szCs w:val="24"/>
          <w:lang w:bidi="ar-IQ"/>
        </w:rPr>
        <w:t>or of other involved tissue</w:t>
      </w:r>
      <w:r w:rsidR="0026097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is the definitive investigation.</w:t>
      </w:r>
    </w:p>
    <w:p w:rsidR="00CE52C6" w:rsidRDefault="0026097E" w:rsidP="00995125">
      <w:pPr>
        <w:pStyle w:val="ListParagraph"/>
        <w:numPr>
          <w:ilvl w:val="0"/>
          <w:numId w:val="1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26097E">
        <w:rPr>
          <w:rFonts w:ascii="Times New Roman" w:eastAsia="Times New Roman" w:hAnsi="Times New Roman" w:cs="Times New Roman"/>
          <w:sz w:val="24"/>
          <w:szCs w:val="24"/>
          <w:lang w:bidi="ar-IQ"/>
        </w:rPr>
        <w:t>Morphological examination is assisted by </w:t>
      </w:r>
      <w:r w:rsidR="008D0C41"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Immunophenotypic and genetic analysis.</w:t>
      </w:r>
    </w:p>
    <w:p w:rsidR="008D0C41" w:rsidRPr="00CE52C6" w:rsidRDefault="008D0C41" w:rsidP="00995125">
      <w:pPr>
        <w:pStyle w:val="ListParagraph"/>
        <w:numPr>
          <w:ilvl w:val="0"/>
          <w:numId w:val="1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A fine needle aspiration may be performed to exclude another cause of lymphadenopathy (e.g.tuberculosis,carcinoma) but is not useful in establishing a diagnosis of lymphoma.</w:t>
      </w:r>
    </w:p>
    <w:p w:rsidR="008D0C41" w:rsidRPr="00CE52C6" w:rsidRDefault="008D0C41" w:rsidP="00995125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</w:pPr>
      <w:r w:rsidRPr="00CE52C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IQ"/>
        </w:rPr>
        <w:t>Laboratory investigations:</w:t>
      </w:r>
      <w:r w:rsidRP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CE52C6">
        <w:rPr>
          <w:rFonts w:ascii="Times New Roman" w:eastAsia="Times New Roman" w:hAnsi="Times New Roman" w:cs="Times New Roman"/>
          <w:sz w:val="24"/>
          <w:szCs w:val="24"/>
          <w:rtl/>
          <w:lang w:val="en-US" w:bidi="ar-IQ"/>
        </w:rPr>
        <w:t>-</w:t>
      </w:r>
    </w:p>
    <w:p w:rsidR="0022340B" w:rsidRDefault="008D0C41" w:rsidP="00995125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8D0C41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In advanced disease with marrow involvement,</w:t>
      </w:r>
      <w:r w:rsid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8D0C41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there may be anaemia,</w:t>
      </w:r>
      <w:r w:rsidR="00CE52C6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</w:t>
      </w:r>
      <w:r w:rsidRPr="008D0C41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neutropenia or thrombocytopenia.</w:t>
      </w:r>
    </w:p>
    <w:p w:rsidR="0022340B" w:rsidRDefault="008D0C41" w:rsidP="00995125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Lymphoma cells</w:t>
      </w:r>
      <w:r w:rsidR="00A34344" w:rsidRPr="00A3434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4344" w:rsidRPr="00A34344">
        <w:rPr>
          <w:rFonts w:ascii="Times New Roman" w:eastAsia="Times New Roman" w:hAnsi="Times New Roman" w:cs="Times New Roman"/>
          <w:sz w:val="24"/>
          <w:szCs w:val="24"/>
          <w:lang w:bidi="ar-IQ"/>
        </w:rPr>
        <w:t>(e.g. mantle zone cells, ‘cleaved follicular lymphoma’ or ‘blast’ cells)</w:t>
      </w:r>
      <w:r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may be found in the peripheral blood in some patients.</w:t>
      </w:r>
    </w:p>
    <w:p w:rsidR="0022340B" w:rsidRDefault="008D0C41" w:rsidP="00995125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Trephine biopsy of marrow to see if there is bone marrow involvement.</w:t>
      </w:r>
    </w:p>
    <w:p w:rsidR="0022340B" w:rsidRDefault="0022340B" w:rsidP="00995125">
      <w:pPr>
        <w:pStyle w:val="ListParagraph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Increase</w:t>
      </w:r>
      <w:r w:rsidR="008D0C41"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 xml:space="preserve"> LDH and uric acid.</w:t>
      </w:r>
    </w:p>
    <w:p w:rsidR="00FB7A31" w:rsidRPr="00300E6E" w:rsidRDefault="008D0C41" w:rsidP="00995125">
      <w:pPr>
        <w:pStyle w:val="ListParagraph"/>
        <w:numPr>
          <w:ilvl w:val="0"/>
          <w:numId w:val="15"/>
        </w:numPr>
        <w:spacing w:after="24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en-US" w:bidi="ar-IQ"/>
        </w:rPr>
      </w:pPr>
      <w:r w:rsidRPr="0022340B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Immunoglobulin electrophoresis may reveal a paraprotein</w:t>
      </w:r>
      <w:r w:rsidR="00300E6E">
        <w:rPr>
          <w:rFonts w:ascii="Times New Roman" w:eastAsia="Times New Roman" w:hAnsi="Times New Roman" w:cs="Times New Roman"/>
          <w:sz w:val="24"/>
          <w:szCs w:val="24"/>
          <w:lang w:val="en-US" w:bidi="ar-IQ"/>
        </w:rPr>
        <w:t>.</w:t>
      </w:r>
    </w:p>
    <w:p w:rsidR="00FB7A31" w:rsidRPr="00FB7A31" w:rsidRDefault="00FB7A31" w:rsidP="00FB7A3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>■ Specific subtypes of non-Hodgkin's lymphoma:</w:t>
      </w:r>
    </w:p>
    <w:p w:rsidR="00FB7A31" w:rsidRPr="00FB7A31" w:rsidRDefault="00FB7A31" w:rsidP="00FB7A3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</w:pP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>● Low-grade non-Hodgkin's lymphoma:</w:t>
      </w:r>
    </w:p>
    <w:p w:rsidR="00AC0680" w:rsidRDefault="00FB7A31" w:rsidP="00995125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8368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Follicular lymphoma:</w:t>
      </w:r>
      <w:r w:rsidRP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40% of adult lymphomas.</w:t>
      </w:r>
      <w:r w:rsidR="0048667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83687">
        <w:rPr>
          <w:rFonts w:asciiTheme="majorBidi" w:eastAsia="Times New Roman" w:hAnsiTheme="majorBidi" w:cstheme="majorBidi"/>
          <w:sz w:val="24"/>
          <w:szCs w:val="24"/>
          <w:lang w:val="en-US"/>
        </w:rPr>
        <w:t>It is often characterized by a benign course for many years</w:t>
      </w:r>
      <w:r w:rsidRPr="00F8368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48667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It is associated with the </w:t>
      </w:r>
      <w:r w:rsidRPr="005F725C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t(14,18) translocation</w:t>
      </w:r>
      <w:r w:rsidR="005F72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5F725C" w:rsidRPr="005F72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(fuses the </w:t>
      </w:r>
      <w:r w:rsidR="005F725C" w:rsidRPr="005F725C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BCL2</w:t>
      </w:r>
      <w:r w:rsidR="005F725C" w:rsidRPr="005F725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gene to the IgH locus on chromosome 14 and leads to the inappropriate expression of BCL2 protein, which functions to prevent </w:t>
      </w:r>
      <w:r w:rsidR="005F725C" w:rsidRPr="005F725C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apoptosis</w:t>
      </w:r>
      <w:r w:rsidR="005F725C" w:rsidRPr="005F725C">
        <w:rPr>
          <w:rFonts w:asciiTheme="majorBidi" w:eastAsia="Times New Roman" w:hAnsiTheme="majorBidi" w:cstheme="majorBidi"/>
          <w:sz w:val="24"/>
          <w:szCs w:val="24"/>
          <w:lang w:val="en-US"/>
        </w:rPr>
        <w:t>.)</w:t>
      </w:r>
    </w:p>
    <w:p w:rsidR="007E6883" w:rsidRDefault="007E6883" w:rsidP="007E68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7E6883">
        <w:rPr>
          <w:rFonts w:asciiTheme="majorBidi" w:eastAsia="Times New Roman" w:hAnsiTheme="majorBidi" w:cstheme="majorBidi"/>
          <w:sz w:val="24"/>
          <w:szCs w:val="24"/>
          <w:lang w:val="en-US"/>
        </w:rPr>
        <w:t>Follicular lymphoma occurs predominantly in older persons (rarely before age 20 years) and affects males and females equally.</w:t>
      </w:r>
    </w:p>
    <w:p w:rsidR="007E6883" w:rsidRPr="007E6883" w:rsidRDefault="007E6883" w:rsidP="007E68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7E688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natural history is prolonged (median survival, 7-9 years), but follicular lymphoma is not easily curable, a feature that is common to most of the </w:t>
      </w:r>
      <w:r w:rsidRPr="007E6883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indolent lymphoid malignancies</w:t>
      </w:r>
    </w:p>
    <w:p w:rsidR="00AC0680" w:rsidRDefault="00FB7A31" w:rsidP="00995125">
      <w:pPr>
        <w:pStyle w:val="ListParagraph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Mantle cell lymphoma</w:t>
      </w:r>
      <w:r w:rsidRPr="00AC0680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: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</w:t>
      </w:r>
      <w:r w:rsidR="00F83687"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 is associated with </w:t>
      </w:r>
      <w:r w:rsidR="007E6883" w:rsidRPr="007E688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 t(11,14) translocation that results </w:t>
      </w:r>
      <w:r w:rsidR="007E6883">
        <w:rPr>
          <w:rFonts w:asciiTheme="majorBidi" w:eastAsia="Times New Roman" w:hAnsiTheme="majorBidi" w:cstheme="majorBidi"/>
          <w:sz w:val="24"/>
          <w:szCs w:val="24"/>
          <w:lang w:val="en-US"/>
        </w:rPr>
        <w:t>in over-expression of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AC068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cyclin D</w:t>
      </w:r>
      <w:r w:rsidRPr="00AC0680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val="en-US"/>
        </w:rPr>
        <w:t>1</w:t>
      </w:r>
      <w:r w:rsidRPr="00AC068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.</w:t>
      </w:r>
      <w:r w:rsidR="00AC068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>It is of aggressive behavior.</w:t>
      </w:r>
    </w:p>
    <w:p w:rsidR="00FB7A31" w:rsidRPr="00AC0680" w:rsidRDefault="00FB7A31" w:rsidP="00995125">
      <w:pPr>
        <w:pStyle w:val="ListParagraph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Marginal zone lymphomas:</w:t>
      </w:r>
      <w:r w:rsidRPr="00AC0680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>are typically extranodal.</w:t>
      </w:r>
    </w:p>
    <w:p w:rsidR="00AC0680" w:rsidRDefault="00FB7A31" w:rsidP="00AC06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Mucosa associated lymphoid tissue (MALT) lymphomas come into this category at sites such as the stomach or thyroid. Gastric MALT lymphoma is the most common form and is preceded by </w:t>
      </w:r>
      <w:r w:rsidR="00690908" w:rsidRPr="00FB7A31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Helicobacter</w:t>
      </w:r>
      <w:r w:rsidRPr="00FB7A31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(H.) pylori </w:t>
      </w: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>infection.</w:t>
      </w:r>
    </w:p>
    <w:p w:rsidR="00690908" w:rsidRPr="00F214BD" w:rsidRDefault="00FB7A31" w:rsidP="00F214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426" w:hanging="426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Lymphocytic lymphomas: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Lymphocytic </w:t>
      </w:r>
      <w:r w:rsidR="00F83687"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lymphomas are closely related 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>to CLL</w:t>
      </w:r>
    </w:p>
    <w:p w:rsidR="00FB7A31" w:rsidRPr="00FB7A31" w:rsidRDefault="00FB7A31" w:rsidP="00AC0680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>●</w:t>
      </w:r>
      <w:r w:rsidR="00AC068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>High Grade Lymphoma</w:t>
      </w: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:</w:t>
      </w:r>
    </w:p>
    <w:p w:rsidR="00FB7A31" w:rsidRPr="00AC0680" w:rsidRDefault="00F83687" w:rsidP="009951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Diffuse Large B-Cell Lymphoma</w:t>
      </w:r>
      <w:r w:rsidR="00FB7A31"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:</w:t>
      </w:r>
    </w:p>
    <w:p w:rsidR="00FB7A31" w:rsidRDefault="00FB7A31" w:rsidP="007E688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r w:rsid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It </w:t>
      </w: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is the most common type of NHL </w:t>
      </w:r>
      <w:r w:rsidR="00F83687">
        <w:rPr>
          <w:rFonts w:asciiTheme="majorBidi" w:eastAsia="Times New Roman" w:hAnsiTheme="majorBidi" w:cstheme="majorBidi"/>
          <w:sz w:val="24"/>
          <w:szCs w:val="24"/>
          <w:lang w:val="en-US"/>
        </w:rPr>
        <w:t>lymphoma</w:t>
      </w:r>
      <w:r w:rsidR="007E6883">
        <w:rPr>
          <w:rFonts w:asciiTheme="majorBidi" w:eastAsia="Times New Roman" w:hAnsiTheme="majorBidi" w:cstheme="majorBidi"/>
          <w:sz w:val="24"/>
          <w:szCs w:val="24"/>
          <w:lang w:val="en-US"/>
        </w:rPr>
        <w:t>. It is considered as h</w:t>
      </w:r>
      <w:r w:rsidR="007E6883" w:rsidRPr="007E6883">
        <w:rPr>
          <w:rFonts w:asciiTheme="majorBidi" w:eastAsia="Times New Roman" w:hAnsiTheme="majorBidi" w:cstheme="majorBidi"/>
          <w:sz w:val="24"/>
          <w:szCs w:val="24"/>
          <w:lang w:val="en-US"/>
        </w:rPr>
        <w:t>eterogeneous group of mature B cell tumors that share a similar large-cell morphology and aggressive clinical behavior.</w:t>
      </w:r>
    </w:p>
    <w:p w:rsidR="00A60466" w:rsidRPr="00FB7A31" w:rsidRDefault="00A60466" w:rsidP="007E688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</w:pPr>
      <w:r w:rsidRPr="00A60466">
        <w:rPr>
          <w:rFonts w:asciiTheme="majorBidi" w:eastAsia="Times New Roman" w:hAnsiTheme="majorBidi" w:cstheme="majorBidi"/>
          <w:sz w:val="24"/>
          <w:szCs w:val="24"/>
          <w:u w:val="single"/>
          <w:lang w:val="en-US"/>
        </w:rPr>
        <w:t>Highly associated with rearrangements or mutations of BCL6 gene.</w:t>
      </w:r>
    </w:p>
    <w:p w:rsidR="00FB7A31" w:rsidRPr="00FA125E" w:rsidRDefault="00FB7A31" w:rsidP="009951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Bidi" w:eastAsia="Times New Roman" w:hAnsiTheme="majorBidi" w:cstheme="majorBidi"/>
        </w:rPr>
      </w:pPr>
      <w:r w:rsidRPr="00AC068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Burkitt's lymphoma</w:t>
      </w:r>
      <w:r w:rsidRPr="00AC068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:</w:t>
      </w:r>
      <w:r w:rsidR="00F83687" w:rsidRPr="00AC0680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AC068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is one of the most highly proliferative subtypes of any tumours. It is associated with </w:t>
      </w:r>
      <w:r w:rsidR="00FA125E" w:rsidRPr="00FA125E">
        <w:rPr>
          <w:rFonts w:asciiTheme="majorBidi" w:eastAsia="Times New Roman" w:hAnsiTheme="majorBidi" w:cstheme="majorBidi"/>
          <w:b/>
          <w:bCs/>
          <w:i/>
          <w:iCs/>
          <w:lang w:val="en-US"/>
        </w:rPr>
        <w:t>translocations of the</w:t>
      </w:r>
      <w:r w:rsidR="00FA125E" w:rsidRPr="00FA125E">
        <w:rPr>
          <w:rFonts w:asciiTheme="majorBidi" w:eastAsia="Times New Roman" w:hAnsiTheme="majorBidi" w:cstheme="majorBidi"/>
          <w:b/>
          <w:bCs/>
          <w:lang w:val="en-US"/>
        </w:rPr>
        <w:t xml:space="preserve"> c-MYC </w:t>
      </w:r>
      <w:r w:rsidR="00FA125E" w:rsidRPr="00FA125E">
        <w:rPr>
          <w:rFonts w:asciiTheme="majorBidi" w:eastAsia="Times New Roman" w:hAnsiTheme="majorBidi" w:cstheme="majorBidi"/>
          <w:b/>
          <w:bCs/>
          <w:i/>
          <w:iCs/>
          <w:lang w:val="en-US"/>
        </w:rPr>
        <w:t>gene on chromosome 8</w:t>
      </w:r>
      <w:r w:rsidR="00FA125E" w:rsidRPr="00FA125E">
        <w:rPr>
          <w:rFonts w:asciiTheme="majorBidi" w:eastAsia="Times New Roman" w:hAnsiTheme="majorBidi" w:cstheme="majorBidi"/>
          <w:b/>
          <w:bCs/>
          <w:lang w:val="en-US"/>
        </w:rPr>
        <w:t>, as result of translocation (t(8;14)).</w:t>
      </w:r>
    </w:p>
    <w:p w:rsidR="00A60466" w:rsidRDefault="00FB7A31" w:rsidP="00AC0680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>Endemic (African) Burkitt's lymphoma is seen in areas with chronic malaria exposure and is associated with Epstein-Barr virus (EBV) infection.</w:t>
      </w:r>
      <w:r w:rsid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A60466" w:rsidRPr="00A6046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Typically, the patient, usually a child, presents with massive lymphadenopathy of the jaw which is initially very responsive to chemotherapy although long-term cure is uncommon </w:t>
      </w:r>
    </w:p>
    <w:p w:rsidR="00FB7A31" w:rsidRPr="00FB7A31" w:rsidRDefault="00FB7A31" w:rsidP="006A5E31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Sporadic cases may occur elsewhere in the world.</w:t>
      </w:r>
      <w:r w:rsidR="006A5E31" w:rsidRPr="006A5E31">
        <w:t xml:space="preserve"> </w:t>
      </w:r>
      <w:r w:rsidR="006A5E31" w:rsidRPr="006A5E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It affects mainly children and adolescents, and has a greater tendency for involvement of the abdominal cavity </w:t>
      </w:r>
      <w:r w:rsidR="006A5E3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6A5E31" w:rsidRPr="006A5E31">
        <w:rPr>
          <w:rFonts w:asciiTheme="majorBidi" w:eastAsia="Times New Roman" w:hAnsiTheme="majorBidi" w:cstheme="majorBidi"/>
          <w:sz w:val="24"/>
          <w:szCs w:val="24"/>
          <w:lang w:val="en-US"/>
        </w:rPr>
        <w:t>gastrointestinal tract, retroperitoneum, and ovaries</w:t>
      </w:r>
      <w:r w:rsidR="006A5E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) </w:t>
      </w:r>
      <w:r w:rsidR="006A5E31" w:rsidRPr="006A5E31">
        <w:rPr>
          <w:rFonts w:asciiTheme="majorBidi" w:eastAsia="Times New Roman" w:hAnsiTheme="majorBidi" w:cstheme="majorBidi"/>
          <w:sz w:val="24"/>
          <w:szCs w:val="24"/>
          <w:lang w:val="en-US"/>
        </w:rPr>
        <w:t>than the endemic form.</w:t>
      </w:r>
    </w:p>
    <w:p w:rsidR="00FB7A31" w:rsidRPr="00FB7A31" w:rsidRDefault="00FB7A31" w:rsidP="00413F6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◙</w:t>
      </w:r>
      <w:r w:rsidR="00D07CAB" w:rsidRPr="00A60466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FB7A3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T-cell lymphoma</w:t>
      </w: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are less common and include:</w:t>
      </w:r>
      <w:r w:rsid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B7A31">
        <w:rPr>
          <w:rFonts w:asciiTheme="majorBidi" w:eastAsia="Times New Roman" w:hAnsiTheme="majorBidi" w:cstheme="majorBidi"/>
          <w:sz w:val="24"/>
          <w:szCs w:val="24"/>
          <w:lang w:val="en-US"/>
        </w:rPr>
        <w:t>mycosis fungoides,</w:t>
      </w:r>
      <w:r w:rsidR="00F8368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13F68">
        <w:rPr>
          <w:rFonts w:asciiTheme="majorBidi" w:eastAsia="Times New Roman" w:hAnsiTheme="majorBidi" w:cstheme="majorBidi"/>
          <w:sz w:val="24"/>
          <w:szCs w:val="24"/>
          <w:lang w:val="en-US"/>
        </w:rPr>
        <w:t>peripheral T-cell lymphoma, anaplastic large cell lymphoma,</w:t>
      </w:r>
      <w:r w:rsidR="00413F68" w:rsidRPr="00413F68">
        <w:t xml:space="preserve"> </w:t>
      </w:r>
      <w:r w:rsidR="00413F68">
        <w:rPr>
          <w:rFonts w:asciiTheme="majorBidi" w:eastAsia="Times New Roman" w:hAnsiTheme="majorBidi" w:cstheme="majorBidi"/>
          <w:sz w:val="24"/>
          <w:szCs w:val="24"/>
        </w:rPr>
        <w:t>enteropathy</w:t>
      </w:r>
      <w:r w:rsidR="00413F68" w:rsidRPr="00413F68">
        <w:rPr>
          <w:rFonts w:asciiTheme="majorBidi" w:eastAsia="Times New Roman" w:hAnsiTheme="majorBidi" w:cstheme="majorBidi"/>
          <w:sz w:val="24"/>
          <w:szCs w:val="24"/>
        </w:rPr>
        <w:t>–associated T-cell lymphomas, and others.</w:t>
      </w:r>
    </w:p>
    <w:p w:rsidR="000011C4" w:rsidRPr="000011C4" w:rsidRDefault="000011C4" w:rsidP="000011C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011C4">
        <w:rPr>
          <w:rFonts w:asciiTheme="majorBidi" w:hAnsiTheme="majorBidi" w:cstheme="majorBidi"/>
          <w:b/>
          <w:bCs/>
          <w:sz w:val="24"/>
          <w:szCs w:val="24"/>
          <w:lang w:val="en-US"/>
        </w:rPr>
        <w:t>Clinical Staging of Hodgkin and Non-Hodgkin Lymphomas (Ann Arbor Classification)*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7943"/>
      </w:tblGrid>
      <w:tr w:rsidR="000011C4" w:rsidRPr="000011C4" w:rsidTr="00CA1059">
        <w:trPr>
          <w:trHeight w:val="831"/>
        </w:trPr>
        <w:tc>
          <w:tcPr>
            <w:tcW w:w="1129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 I</w:t>
            </w:r>
          </w:p>
        </w:tc>
        <w:tc>
          <w:tcPr>
            <w:tcW w:w="7943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sz w:val="24"/>
                <w:szCs w:val="24"/>
              </w:rPr>
              <w:t>Involvement of a single lymph node region (I) or involvement of a single extralymphatic organ or tissue (I</w:t>
            </w:r>
            <w:r w:rsidRPr="000011C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r w:rsidRPr="000011C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011C4" w:rsidRPr="000011C4" w:rsidTr="00CA1059">
        <w:trPr>
          <w:trHeight w:val="1128"/>
        </w:trPr>
        <w:tc>
          <w:tcPr>
            <w:tcW w:w="1129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 II</w:t>
            </w:r>
          </w:p>
        </w:tc>
        <w:tc>
          <w:tcPr>
            <w:tcW w:w="7943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sz w:val="24"/>
                <w:szCs w:val="24"/>
              </w:rPr>
              <w:t>Involvement of two or more lymph node regions on the same side of the diaphragm alone (II) or with involvement of limited contiguous extralymphatic organs or tissue (II</w:t>
            </w:r>
            <w:r w:rsidRPr="000011C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r w:rsidRPr="000011C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011C4" w:rsidRPr="000011C4" w:rsidTr="00CA1059">
        <w:trPr>
          <w:trHeight w:val="1143"/>
        </w:trPr>
        <w:tc>
          <w:tcPr>
            <w:tcW w:w="1129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 III</w:t>
            </w:r>
          </w:p>
        </w:tc>
        <w:tc>
          <w:tcPr>
            <w:tcW w:w="7943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sz w:val="24"/>
                <w:szCs w:val="24"/>
              </w:rPr>
              <w:t>Involvement of lymph node regions on both sides of the diaphragm (III), which may include the spleen (III</w:t>
            </w:r>
            <w:r w:rsidRPr="000011C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</w:t>
            </w:r>
            <w:r w:rsidRPr="000011C4">
              <w:rPr>
                <w:rFonts w:asciiTheme="majorBidi" w:hAnsiTheme="majorBidi" w:cstheme="majorBidi"/>
                <w:sz w:val="24"/>
                <w:szCs w:val="24"/>
              </w:rPr>
              <w:t>), limited contiguous extralymphatic organ or site (III</w:t>
            </w:r>
            <w:r w:rsidRPr="000011C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</w:t>
            </w:r>
            <w:r w:rsidRPr="000011C4">
              <w:rPr>
                <w:rFonts w:asciiTheme="majorBidi" w:hAnsiTheme="majorBidi" w:cstheme="majorBidi"/>
                <w:sz w:val="24"/>
                <w:szCs w:val="24"/>
              </w:rPr>
              <w:t>), or both (III</w:t>
            </w:r>
            <w:r w:rsidRPr="000011C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ES</w:t>
            </w:r>
            <w:r w:rsidRPr="000011C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0011C4" w:rsidRPr="000011C4" w:rsidTr="00CA1059">
        <w:trPr>
          <w:trHeight w:val="836"/>
        </w:trPr>
        <w:tc>
          <w:tcPr>
            <w:tcW w:w="1129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Stage IV</w:t>
            </w:r>
          </w:p>
        </w:tc>
        <w:tc>
          <w:tcPr>
            <w:tcW w:w="7943" w:type="dxa"/>
          </w:tcPr>
          <w:p w:rsidR="000011C4" w:rsidRPr="000011C4" w:rsidRDefault="000011C4" w:rsidP="00001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11C4">
              <w:rPr>
                <w:rFonts w:asciiTheme="majorBidi" w:hAnsiTheme="majorBidi" w:cstheme="majorBidi"/>
                <w:sz w:val="24"/>
                <w:szCs w:val="24"/>
              </w:rPr>
              <w:t>Multiple or disseminated foci of involvement of one or more extralymphatic organs or tissues with or without lymphatic involvement</w:t>
            </w:r>
          </w:p>
        </w:tc>
      </w:tr>
    </w:tbl>
    <w:p w:rsidR="00CA1059" w:rsidRPr="00CA1059" w:rsidRDefault="00CA1059" w:rsidP="0049696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A1059">
        <w:rPr>
          <w:rFonts w:asciiTheme="majorBidi" w:hAnsiTheme="majorBidi" w:cstheme="majorBidi"/>
          <w:sz w:val="24"/>
          <w:szCs w:val="24"/>
          <w:lang w:val="en-US"/>
        </w:rPr>
        <w:t>---All stages are further divided on the basis of the absence (A) or presence (B) of the following systemic symptoms: significant fever, night sweats, unexplained loss of more than 10% of normal body weight.</w:t>
      </w:r>
    </w:p>
    <w:p w:rsidR="000011C4" w:rsidRDefault="000011C4" w:rsidP="00496965">
      <w:pPr>
        <w:jc w:val="both"/>
      </w:pPr>
    </w:p>
    <w:p w:rsidR="007677E8" w:rsidRPr="007677E8" w:rsidRDefault="007677E8" w:rsidP="007677E8">
      <w:pPr>
        <w:rPr>
          <w:lang w:bidi="ar-IQ"/>
        </w:rPr>
      </w:pPr>
    </w:p>
    <w:sectPr w:rsidR="007677E8" w:rsidRPr="007677E8" w:rsidSect="00AD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1A" w:rsidRDefault="00DF431A" w:rsidP="00F323E0">
      <w:pPr>
        <w:spacing w:after="0" w:line="240" w:lineRule="auto"/>
      </w:pPr>
      <w:r>
        <w:separator/>
      </w:r>
    </w:p>
  </w:endnote>
  <w:endnote w:type="continuationSeparator" w:id="0">
    <w:p w:rsidR="00DF431A" w:rsidRDefault="00DF431A" w:rsidP="00F3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2B" w:rsidRDefault="00951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455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230" w:rsidRDefault="00A77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0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230" w:rsidRDefault="00A77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2B" w:rsidRDefault="0095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1A" w:rsidRDefault="00DF431A" w:rsidP="00F323E0">
      <w:pPr>
        <w:spacing w:after="0" w:line="240" w:lineRule="auto"/>
      </w:pPr>
      <w:r>
        <w:separator/>
      </w:r>
    </w:p>
  </w:footnote>
  <w:footnote w:type="continuationSeparator" w:id="0">
    <w:p w:rsidR="00DF431A" w:rsidRDefault="00DF431A" w:rsidP="00F3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2B" w:rsidRDefault="00951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30" w:rsidRPr="00842521" w:rsidRDefault="0095102B" w:rsidP="0095102B">
    <w:pPr>
      <w:pStyle w:val="Header"/>
      <w:jc w:val="both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Lec 3. l</w:t>
    </w:r>
    <w:r w:rsidR="00A77230">
      <w:rPr>
        <w:rFonts w:asciiTheme="majorBidi" w:hAnsiTheme="majorBidi" w:cstheme="majorBidi"/>
        <w:b/>
        <w:bCs/>
        <w:sz w:val="24"/>
        <w:szCs w:val="24"/>
      </w:rPr>
      <w:t xml:space="preserve">ymphoreticular system 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 xml:space="preserve">                          </w:t>
    </w:r>
    <w:r>
      <w:rPr>
        <w:rFonts w:asciiTheme="majorBidi" w:hAnsiTheme="majorBidi" w:cstheme="majorBidi"/>
        <w:b/>
        <w:bCs/>
        <w:sz w:val="24"/>
        <w:szCs w:val="24"/>
      </w:rPr>
      <w:t xml:space="preserve">                      </w:t>
    </w:r>
    <w:bookmarkStart w:id="0" w:name="_GoBack"/>
    <w:bookmarkEnd w:id="0"/>
    <w:r>
      <w:rPr>
        <w:rFonts w:asciiTheme="majorBidi" w:hAnsiTheme="majorBidi" w:cstheme="majorBidi"/>
        <w:b/>
        <w:bCs/>
        <w:sz w:val="24"/>
        <w:szCs w:val="24"/>
      </w:rPr>
      <w:t xml:space="preserve"> 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 xml:space="preserve">   </w:t>
    </w:r>
    <w:r w:rsidR="00A77230">
      <w:rPr>
        <w:rFonts w:asciiTheme="majorBidi" w:hAnsiTheme="majorBidi" w:cstheme="majorBidi"/>
        <w:b/>
        <w:bCs/>
        <w:sz w:val="24"/>
        <w:szCs w:val="24"/>
      </w:rPr>
      <w:t xml:space="preserve"> </w:t>
    </w:r>
    <w:r>
      <w:rPr>
        <w:rFonts w:asciiTheme="majorBidi" w:hAnsiTheme="majorBidi" w:cstheme="majorBidi"/>
        <w:b/>
        <w:bCs/>
        <w:sz w:val="24"/>
        <w:szCs w:val="24"/>
      </w:rPr>
      <w:t>Dr.</w:t>
    </w:r>
    <w:r w:rsidR="00A77230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>Hussein Hadi Khairi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02B" w:rsidRDefault="00951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F6"/>
    <w:multiLevelType w:val="hybridMultilevel"/>
    <w:tmpl w:val="8E48E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3174"/>
    <w:multiLevelType w:val="hybridMultilevel"/>
    <w:tmpl w:val="D81EA28C"/>
    <w:lvl w:ilvl="0" w:tplc="4D784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0849"/>
    <w:multiLevelType w:val="hybridMultilevel"/>
    <w:tmpl w:val="258016A6"/>
    <w:lvl w:ilvl="0" w:tplc="4D784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5A36"/>
    <w:multiLevelType w:val="hybridMultilevel"/>
    <w:tmpl w:val="ACBAFA1A"/>
    <w:lvl w:ilvl="0" w:tplc="E04AFC68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76838"/>
    <w:multiLevelType w:val="hybridMultilevel"/>
    <w:tmpl w:val="11B2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02C6"/>
    <w:multiLevelType w:val="hybridMultilevel"/>
    <w:tmpl w:val="0F2081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4A44"/>
    <w:multiLevelType w:val="hybridMultilevel"/>
    <w:tmpl w:val="4F922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2E0D"/>
    <w:multiLevelType w:val="hybridMultilevel"/>
    <w:tmpl w:val="D200D3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A2C19"/>
    <w:multiLevelType w:val="hybridMultilevel"/>
    <w:tmpl w:val="3C42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247EF"/>
    <w:multiLevelType w:val="hybridMultilevel"/>
    <w:tmpl w:val="F92498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1A18"/>
    <w:multiLevelType w:val="hybridMultilevel"/>
    <w:tmpl w:val="A142DE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A73DC"/>
    <w:multiLevelType w:val="hybridMultilevel"/>
    <w:tmpl w:val="0C06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25B53"/>
    <w:multiLevelType w:val="hybridMultilevel"/>
    <w:tmpl w:val="AA3A1E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B02A1"/>
    <w:multiLevelType w:val="hybridMultilevel"/>
    <w:tmpl w:val="96E0B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D728C"/>
    <w:multiLevelType w:val="hybridMultilevel"/>
    <w:tmpl w:val="179618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112DD"/>
    <w:multiLevelType w:val="hybridMultilevel"/>
    <w:tmpl w:val="932C809A"/>
    <w:lvl w:ilvl="0" w:tplc="0809001B">
      <w:start w:val="1"/>
      <w:numFmt w:val="lowerRoman"/>
      <w:lvlText w:val="%1."/>
      <w:lvlJc w:val="righ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CF56EEF"/>
    <w:multiLevelType w:val="hybridMultilevel"/>
    <w:tmpl w:val="303A7C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D44AF"/>
    <w:multiLevelType w:val="hybridMultilevel"/>
    <w:tmpl w:val="4AA28E94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19735BB"/>
    <w:multiLevelType w:val="hybridMultilevel"/>
    <w:tmpl w:val="BAC819EA"/>
    <w:lvl w:ilvl="0" w:tplc="922AF30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4E5896"/>
    <w:multiLevelType w:val="hybridMultilevel"/>
    <w:tmpl w:val="6E80AFE6"/>
    <w:lvl w:ilvl="0" w:tplc="E04AFC6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6A0E"/>
    <w:multiLevelType w:val="hybridMultilevel"/>
    <w:tmpl w:val="E1A64DCE"/>
    <w:lvl w:ilvl="0" w:tplc="07B27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76299"/>
    <w:multiLevelType w:val="hybridMultilevel"/>
    <w:tmpl w:val="09EE6D92"/>
    <w:lvl w:ilvl="0" w:tplc="E6F2995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87DEB"/>
    <w:multiLevelType w:val="hybridMultilevel"/>
    <w:tmpl w:val="D6DAE16C"/>
    <w:lvl w:ilvl="0" w:tplc="4D784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1D30A7"/>
    <w:multiLevelType w:val="hybridMultilevel"/>
    <w:tmpl w:val="21E82C38"/>
    <w:lvl w:ilvl="0" w:tplc="08090011">
      <w:start w:val="1"/>
      <w:numFmt w:val="decimal"/>
      <w:lvlText w:val="%1)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EC05858"/>
    <w:multiLevelType w:val="hybridMultilevel"/>
    <w:tmpl w:val="F49EED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22"/>
  </w:num>
  <w:num w:numId="17">
    <w:abstractNumId w:val="17"/>
  </w:num>
  <w:num w:numId="18">
    <w:abstractNumId w:val="15"/>
  </w:num>
  <w:num w:numId="19">
    <w:abstractNumId w:val="24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0"/>
    <w:rsid w:val="00000DA5"/>
    <w:rsid w:val="000011C4"/>
    <w:rsid w:val="00012BE0"/>
    <w:rsid w:val="000326A0"/>
    <w:rsid w:val="00032827"/>
    <w:rsid w:val="000360E7"/>
    <w:rsid w:val="0003692B"/>
    <w:rsid w:val="00041754"/>
    <w:rsid w:val="000531E9"/>
    <w:rsid w:val="0006553C"/>
    <w:rsid w:val="00084316"/>
    <w:rsid w:val="0008450C"/>
    <w:rsid w:val="000917CB"/>
    <w:rsid w:val="00096BF1"/>
    <w:rsid w:val="000B0CB5"/>
    <w:rsid w:val="000B7D46"/>
    <w:rsid w:val="000C5A71"/>
    <w:rsid w:val="000D1384"/>
    <w:rsid w:val="000E1061"/>
    <w:rsid w:val="000F075C"/>
    <w:rsid w:val="001115B3"/>
    <w:rsid w:val="0011241C"/>
    <w:rsid w:val="001264E7"/>
    <w:rsid w:val="0013087B"/>
    <w:rsid w:val="001319B5"/>
    <w:rsid w:val="00142D4C"/>
    <w:rsid w:val="00144B0C"/>
    <w:rsid w:val="00165D43"/>
    <w:rsid w:val="001673D1"/>
    <w:rsid w:val="00172BF6"/>
    <w:rsid w:val="001949FB"/>
    <w:rsid w:val="001B05F6"/>
    <w:rsid w:val="001B7D61"/>
    <w:rsid w:val="001D5536"/>
    <w:rsid w:val="001E4FBB"/>
    <w:rsid w:val="001F387F"/>
    <w:rsid w:val="001F46D6"/>
    <w:rsid w:val="001F5F58"/>
    <w:rsid w:val="00214CA7"/>
    <w:rsid w:val="0022340B"/>
    <w:rsid w:val="00231D7C"/>
    <w:rsid w:val="00234FAF"/>
    <w:rsid w:val="00235FA2"/>
    <w:rsid w:val="00251931"/>
    <w:rsid w:val="002555D2"/>
    <w:rsid w:val="0026097E"/>
    <w:rsid w:val="002656B4"/>
    <w:rsid w:val="00273224"/>
    <w:rsid w:val="002774E9"/>
    <w:rsid w:val="0027774C"/>
    <w:rsid w:val="00281BF4"/>
    <w:rsid w:val="0028651F"/>
    <w:rsid w:val="002867C0"/>
    <w:rsid w:val="00297EB4"/>
    <w:rsid w:val="002A512A"/>
    <w:rsid w:val="002A58D4"/>
    <w:rsid w:val="002B02BB"/>
    <w:rsid w:val="002F5AC3"/>
    <w:rsid w:val="002F7471"/>
    <w:rsid w:val="00300E6E"/>
    <w:rsid w:val="003055E6"/>
    <w:rsid w:val="00307495"/>
    <w:rsid w:val="00331527"/>
    <w:rsid w:val="003432BF"/>
    <w:rsid w:val="00354E91"/>
    <w:rsid w:val="00357DF3"/>
    <w:rsid w:val="00360C41"/>
    <w:rsid w:val="0036288F"/>
    <w:rsid w:val="00365D05"/>
    <w:rsid w:val="003808B4"/>
    <w:rsid w:val="00395EE4"/>
    <w:rsid w:val="003A2225"/>
    <w:rsid w:val="003A4DAC"/>
    <w:rsid w:val="003A5106"/>
    <w:rsid w:val="003D0B3B"/>
    <w:rsid w:val="003D27B3"/>
    <w:rsid w:val="003D55C7"/>
    <w:rsid w:val="003D7979"/>
    <w:rsid w:val="003E0F3E"/>
    <w:rsid w:val="003E41C9"/>
    <w:rsid w:val="003E5E4B"/>
    <w:rsid w:val="003F0DD6"/>
    <w:rsid w:val="003F4053"/>
    <w:rsid w:val="00406EF0"/>
    <w:rsid w:val="00407F89"/>
    <w:rsid w:val="004109DB"/>
    <w:rsid w:val="00413F68"/>
    <w:rsid w:val="004227CC"/>
    <w:rsid w:val="00427287"/>
    <w:rsid w:val="0043356E"/>
    <w:rsid w:val="00443278"/>
    <w:rsid w:val="00444EC0"/>
    <w:rsid w:val="00463B5F"/>
    <w:rsid w:val="004732BF"/>
    <w:rsid w:val="00475851"/>
    <w:rsid w:val="0048359A"/>
    <w:rsid w:val="00486670"/>
    <w:rsid w:val="00496965"/>
    <w:rsid w:val="004A4AD1"/>
    <w:rsid w:val="004C392D"/>
    <w:rsid w:val="004E5A96"/>
    <w:rsid w:val="004E6699"/>
    <w:rsid w:val="004F1EFA"/>
    <w:rsid w:val="004F2E8E"/>
    <w:rsid w:val="004F78AA"/>
    <w:rsid w:val="00527DA2"/>
    <w:rsid w:val="00540369"/>
    <w:rsid w:val="00543364"/>
    <w:rsid w:val="00553386"/>
    <w:rsid w:val="00570BC1"/>
    <w:rsid w:val="005710F7"/>
    <w:rsid w:val="00576330"/>
    <w:rsid w:val="00583136"/>
    <w:rsid w:val="00594C8F"/>
    <w:rsid w:val="005A40B6"/>
    <w:rsid w:val="005B5981"/>
    <w:rsid w:val="005C26B2"/>
    <w:rsid w:val="005C68FB"/>
    <w:rsid w:val="005F523E"/>
    <w:rsid w:val="005F725C"/>
    <w:rsid w:val="00624B0A"/>
    <w:rsid w:val="006347E2"/>
    <w:rsid w:val="0064126B"/>
    <w:rsid w:val="00645CC7"/>
    <w:rsid w:val="0065001C"/>
    <w:rsid w:val="00653484"/>
    <w:rsid w:val="006559E1"/>
    <w:rsid w:val="00657DA5"/>
    <w:rsid w:val="00660A83"/>
    <w:rsid w:val="006677E1"/>
    <w:rsid w:val="00672646"/>
    <w:rsid w:val="00677E60"/>
    <w:rsid w:val="006846D8"/>
    <w:rsid w:val="00690908"/>
    <w:rsid w:val="006A0463"/>
    <w:rsid w:val="006A2B01"/>
    <w:rsid w:val="006A5E31"/>
    <w:rsid w:val="006B09F2"/>
    <w:rsid w:val="006B3F4F"/>
    <w:rsid w:val="006C498B"/>
    <w:rsid w:val="006D0ECA"/>
    <w:rsid w:val="006E26B1"/>
    <w:rsid w:val="006E3432"/>
    <w:rsid w:val="006E36A4"/>
    <w:rsid w:val="006E6A6F"/>
    <w:rsid w:val="007054FB"/>
    <w:rsid w:val="00710FB3"/>
    <w:rsid w:val="007167DB"/>
    <w:rsid w:val="00732408"/>
    <w:rsid w:val="00747AF7"/>
    <w:rsid w:val="007677E8"/>
    <w:rsid w:val="00767A7C"/>
    <w:rsid w:val="0078504D"/>
    <w:rsid w:val="007930A7"/>
    <w:rsid w:val="007A3ADD"/>
    <w:rsid w:val="007C589A"/>
    <w:rsid w:val="007D17C5"/>
    <w:rsid w:val="007E37BD"/>
    <w:rsid w:val="007E6883"/>
    <w:rsid w:val="007F09C3"/>
    <w:rsid w:val="007F1E4F"/>
    <w:rsid w:val="007F6371"/>
    <w:rsid w:val="008023FB"/>
    <w:rsid w:val="00805D97"/>
    <w:rsid w:val="008119DE"/>
    <w:rsid w:val="00813E70"/>
    <w:rsid w:val="00817864"/>
    <w:rsid w:val="0083095E"/>
    <w:rsid w:val="008367FD"/>
    <w:rsid w:val="00842521"/>
    <w:rsid w:val="00845537"/>
    <w:rsid w:val="00850AF4"/>
    <w:rsid w:val="008624AD"/>
    <w:rsid w:val="008722B1"/>
    <w:rsid w:val="00873A62"/>
    <w:rsid w:val="008770AC"/>
    <w:rsid w:val="008863F6"/>
    <w:rsid w:val="00895217"/>
    <w:rsid w:val="00895441"/>
    <w:rsid w:val="008A4A6A"/>
    <w:rsid w:val="008B4D8E"/>
    <w:rsid w:val="008B5270"/>
    <w:rsid w:val="008B589D"/>
    <w:rsid w:val="008B7C37"/>
    <w:rsid w:val="008C4E46"/>
    <w:rsid w:val="008D0C41"/>
    <w:rsid w:val="008D7F58"/>
    <w:rsid w:val="008E44CF"/>
    <w:rsid w:val="008E5C2F"/>
    <w:rsid w:val="008F5F55"/>
    <w:rsid w:val="00902FA7"/>
    <w:rsid w:val="00907989"/>
    <w:rsid w:val="00912B07"/>
    <w:rsid w:val="009262D1"/>
    <w:rsid w:val="0092712E"/>
    <w:rsid w:val="00940F62"/>
    <w:rsid w:val="00947E54"/>
    <w:rsid w:val="0095102B"/>
    <w:rsid w:val="00952AFA"/>
    <w:rsid w:val="00970103"/>
    <w:rsid w:val="0097393C"/>
    <w:rsid w:val="009778CB"/>
    <w:rsid w:val="0099153D"/>
    <w:rsid w:val="00991A33"/>
    <w:rsid w:val="0099262E"/>
    <w:rsid w:val="009949DD"/>
    <w:rsid w:val="00995125"/>
    <w:rsid w:val="009A35C2"/>
    <w:rsid w:val="009A6D4E"/>
    <w:rsid w:val="009B52D3"/>
    <w:rsid w:val="009B77F5"/>
    <w:rsid w:val="009C5C72"/>
    <w:rsid w:val="009D77E6"/>
    <w:rsid w:val="009E17D7"/>
    <w:rsid w:val="009F4AFF"/>
    <w:rsid w:val="00A05779"/>
    <w:rsid w:val="00A20E06"/>
    <w:rsid w:val="00A2275E"/>
    <w:rsid w:val="00A27A90"/>
    <w:rsid w:val="00A34344"/>
    <w:rsid w:val="00A4316B"/>
    <w:rsid w:val="00A47240"/>
    <w:rsid w:val="00A60466"/>
    <w:rsid w:val="00A65136"/>
    <w:rsid w:val="00A76868"/>
    <w:rsid w:val="00A77230"/>
    <w:rsid w:val="00A8344E"/>
    <w:rsid w:val="00AA155B"/>
    <w:rsid w:val="00AB086E"/>
    <w:rsid w:val="00AB2FE0"/>
    <w:rsid w:val="00AC0680"/>
    <w:rsid w:val="00AC5AD6"/>
    <w:rsid w:val="00AD2222"/>
    <w:rsid w:val="00AE0AFD"/>
    <w:rsid w:val="00B237BC"/>
    <w:rsid w:val="00B26646"/>
    <w:rsid w:val="00B3485F"/>
    <w:rsid w:val="00B34F95"/>
    <w:rsid w:val="00B566FC"/>
    <w:rsid w:val="00B65580"/>
    <w:rsid w:val="00B73EA1"/>
    <w:rsid w:val="00B76FD6"/>
    <w:rsid w:val="00B90978"/>
    <w:rsid w:val="00B96CC8"/>
    <w:rsid w:val="00BB5B7F"/>
    <w:rsid w:val="00BC431D"/>
    <w:rsid w:val="00C00114"/>
    <w:rsid w:val="00C06DCF"/>
    <w:rsid w:val="00C22378"/>
    <w:rsid w:val="00C270EE"/>
    <w:rsid w:val="00C35D84"/>
    <w:rsid w:val="00C36D79"/>
    <w:rsid w:val="00C70CDB"/>
    <w:rsid w:val="00C725A6"/>
    <w:rsid w:val="00C74723"/>
    <w:rsid w:val="00C87E60"/>
    <w:rsid w:val="00CA1059"/>
    <w:rsid w:val="00CA2F78"/>
    <w:rsid w:val="00CA4466"/>
    <w:rsid w:val="00CA489D"/>
    <w:rsid w:val="00CD6AC9"/>
    <w:rsid w:val="00CE2AD5"/>
    <w:rsid w:val="00CE31BC"/>
    <w:rsid w:val="00CE52C6"/>
    <w:rsid w:val="00CE5352"/>
    <w:rsid w:val="00CF7E47"/>
    <w:rsid w:val="00D064EB"/>
    <w:rsid w:val="00D07084"/>
    <w:rsid w:val="00D07CAB"/>
    <w:rsid w:val="00D15579"/>
    <w:rsid w:val="00D40FD4"/>
    <w:rsid w:val="00D418C5"/>
    <w:rsid w:val="00D45892"/>
    <w:rsid w:val="00D62E3F"/>
    <w:rsid w:val="00D671CA"/>
    <w:rsid w:val="00D71328"/>
    <w:rsid w:val="00D9048D"/>
    <w:rsid w:val="00D90CA4"/>
    <w:rsid w:val="00D95B7F"/>
    <w:rsid w:val="00D961B8"/>
    <w:rsid w:val="00DB2924"/>
    <w:rsid w:val="00DC3AB3"/>
    <w:rsid w:val="00DE4031"/>
    <w:rsid w:val="00DF431A"/>
    <w:rsid w:val="00E030A2"/>
    <w:rsid w:val="00E0326A"/>
    <w:rsid w:val="00E05631"/>
    <w:rsid w:val="00E10D44"/>
    <w:rsid w:val="00E11F24"/>
    <w:rsid w:val="00E148A7"/>
    <w:rsid w:val="00E23021"/>
    <w:rsid w:val="00E2321A"/>
    <w:rsid w:val="00E30704"/>
    <w:rsid w:val="00E30CDC"/>
    <w:rsid w:val="00E34115"/>
    <w:rsid w:val="00E37C55"/>
    <w:rsid w:val="00E46AC4"/>
    <w:rsid w:val="00E53720"/>
    <w:rsid w:val="00E65035"/>
    <w:rsid w:val="00E65E28"/>
    <w:rsid w:val="00E67926"/>
    <w:rsid w:val="00E70C57"/>
    <w:rsid w:val="00E72C6C"/>
    <w:rsid w:val="00E82A60"/>
    <w:rsid w:val="00EB0167"/>
    <w:rsid w:val="00EB4F05"/>
    <w:rsid w:val="00EE0025"/>
    <w:rsid w:val="00EF56B0"/>
    <w:rsid w:val="00EF6652"/>
    <w:rsid w:val="00EF7524"/>
    <w:rsid w:val="00F12EC1"/>
    <w:rsid w:val="00F174C5"/>
    <w:rsid w:val="00F17ABA"/>
    <w:rsid w:val="00F20327"/>
    <w:rsid w:val="00F214BD"/>
    <w:rsid w:val="00F303B2"/>
    <w:rsid w:val="00F323E0"/>
    <w:rsid w:val="00F34335"/>
    <w:rsid w:val="00F407DA"/>
    <w:rsid w:val="00F52B93"/>
    <w:rsid w:val="00F5438A"/>
    <w:rsid w:val="00F61AA1"/>
    <w:rsid w:val="00F64426"/>
    <w:rsid w:val="00F65B2A"/>
    <w:rsid w:val="00F819C6"/>
    <w:rsid w:val="00F83687"/>
    <w:rsid w:val="00F8647A"/>
    <w:rsid w:val="00F91161"/>
    <w:rsid w:val="00FA125E"/>
    <w:rsid w:val="00FA599E"/>
    <w:rsid w:val="00FB45BD"/>
    <w:rsid w:val="00FB7A31"/>
    <w:rsid w:val="00FD1AB0"/>
    <w:rsid w:val="00FD3BD1"/>
    <w:rsid w:val="00FF292B"/>
    <w:rsid w:val="00FF4822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0"/>
  </w:style>
  <w:style w:type="paragraph" w:styleId="Footer">
    <w:name w:val="footer"/>
    <w:basedOn w:val="Normal"/>
    <w:link w:val="Foot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0"/>
  </w:style>
  <w:style w:type="paragraph" w:styleId="BalloonText">
    <w:name w:val="Balloon Text"/>
    <w:basedOn w:val="Normal"/>
    <w:link w:val="BalloonTextChar"/>
    <w:uiPriority w:val="99"/>
    <w:semiHidden/>
    <w:unhideWhenUsed/>
    <w:rsid w:val="006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65D43"/>
    <w:rPr>
      <w:rFonts w:ascii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3055E6"/>
  </w:style>
  <w:style w:type="character" w:styleId="Hyperlink">
    <w:name w:val="Hyperlink"/>
    <w:basedOn w:val="DefaultParagraphFont"/>
    <w:uiPriority w:val="99"/>
    <w:unhideWhenUsed/>
    <w:rsid w:val="007054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011C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0"/>
  </w:style>
  <w:style w:type="paragraph" w:styleId="Footer">
    <w:name w:val="footer"/>
    <w:basedOn w:val="Normal"/>
    <w:link w:val="Foot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0"/>
  </w:style>
  <w:style w:type="paragraph" w:styleId="BalloonText">
    <w:name w:val="Balloon Text"/>
    <w:basedOn w:val="Normal"/>
    <w:link w:val="BalloonTextChar"/>
    <w:uiPriority w:val="99"/>
    <w:semiHidden/>
    <w:unhideWhenUsed/>
    <w:rsid w:val="006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65D43"/>
    <w:rPr>
      <w:rFonts w:ascii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3055E6"/>
  </w:style>
  <w:style w:type="character" w:styleId="Hyperlink">
    <w:name w:val="Hyperlink"/>
    <w:basedOn w:val="DefaultParagraphFont"/>
    <w:uiPriority w:val="99"/>
    <w:unhideWhenUsed/>
    <w:rsid w:val="007054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011C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201</cp:revision>
  <dcterms:created xsi:type="dcterms:W3CDTF">2020-07-26T11:39:00Z</dcterms:created>
  <dcterms:modified xsi:type="dcterms:W3CDTF">2021-02-02T12:39:00Z</dcterms:modified>
</cp:coreProperties>
</file>