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23" w:rsidRPr="00510BF4" w:rsidRDefault="00970623" w:rsidP="000B138B">
      <w:pPr>
        <w:pBdr>
          <w:bottom w:val="single" w:sz="4" w:space="1" w:color="auto"/>
        </w:pBdr>
        <w:bidi w:val="0"/>
        <w:spacing w:after="0" w:line="240" w:lineRule="auto"/>
        <w:jc w:val="center"/>
        <w:rPr>
          <w:rFonts w:asciiTheme="majorBidi" w:eastAsia="Times New Roman" w:hAnsiTheme="majorBidi" w:cstheme="majorBidi"/>
          <w:b/>
          <w:bCs/>
          <w:sz w:val="32"/>
          <w:szCs w:val="32"/>
          <w:rtl/>
          <w:lang w:bidi="ar-IQ"/>
        </w:rPr>
      </w:pPr>
      <w:r w:rsidRPr="00510BF4">
        <w:rPr>
          <w:rFonts w:asciiTheme="majorBidi" w:eastAsia="Times New Roman" w:hAnsiTheme="majorBidi" w:cstheme="majorBidi"/>
          <w:b/>
          <w:bCs/>
          <w:sz w:val="32"/>
          <w:szCs w:val="32"/>
          <w:lang w:bidi="ar-IQ"/>
        </w:rPr>
        <w:t>Pharmacology of bone disorders</w:t>
      </w:r>
    </w:p>
    <w:p w:rsidR="00970623" w:rsidRPr="00510BF4" w:rsidRDefault="00970623" w:rsidP="00510BF4">
      <w:pPr>
        <w:bidi w:val="0"/>
        <w:spacing w:after="0" w:line="240" w:lineRule="auto"/>
        <w:jc w:val="both"/>
        <w:rPr>
          <w:rFonts w:asciiTheme="majorBidi" w:eastAsia="Times New Roman" w:hAnsiTheme="majorBidi" w:cstheme="majorBidi"/>
        </w:rPr>
      </w:pPr>
    </w:p>
    <w:p w:rsidR="00C579D1" w:rsidRPr="00510BF4" w:rsidRDefault="00C579D1" w:rsidP="00D568A0">
      <w:pPr>
        <w:bidi w:val="0"/>
        <w:spacing w:after="0" w:line="240" w:lineRule="auto"/>
        <w:ind w:left="-993" w:right="-908"/>
        <w:jc w:val="both"/>
        <w:rPr>
          <w:rFonts w:asciiTheme="majorBidi" w:eastAsia="Times New Roman" w:hAnsiTheme="majorBidi" w:cstheme="majorBidi"/>
        </w:rPr>
      </w:pPr>
      <w:r w:rsidRPr="00510BF4">
        <w:rPr>
          <w:rFonts w:asciiTheme="majorBidi" w:eastAsia="Times New Roman" w:hAnsiTheme="majorBidi" w:cstheme="majorBidi"/>
        </w:rPr>
        <w:t xml:space="preserve">The human skeleton undergoes a continuous process of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throughout life-some bone being </w:t>
      </w:r>
      <w:proofErr w:type="spellStart"/>
      <w:r w:rsidRPr="00510BF4">
        <w:rPr>
          <w:rFonts w:asciiTheme="majorBidi" w:eastAsia="Times New Roman" w:hAnsiTheme="majorBidi" w:cstheme="majorBidi"/>
        </w:rPr>
        <w:t>resorbed</w:t>
      </w:r>
      <w:proofErr w:type="spellEnd"/>
      <w:r w:rsidRPr="00510BF4">
        <w:rPr>
          <w:rFonts w:asciiTheme="majorBidi" w:eastAsia="Times New Roman" w:hAnsiTheme="majorBidi" w:cstheme="majorBidi"/>
        </w:rPr>
        <w:t xml:space="preserve"> and new bone being laid down. With advancing age, there is an increasing possibility of structural deterioration and decreased bone mass (osteoporosis). This constitutes a major health problem throughout the world, and there are, in addition, various other conditions that can lead to pathological changes in bone that require therapy. In the past decade, there have been significant advances in the understanding of bone biology, which have led to new drugs and may yet lead to further new drugs. </w:t>
      </w: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510BF4" w:rsidRDefault="00970623" w:rsidP="00510BF4">
            <w:pPr>
              <w:bidi w:val="0"/>
              <w:spacing w:after="0" w:line="240" w:lineRule="auto"/>
              <w:jc w:val="both"/>
              <w:rPr>
                <w:rFonts w:asciiTheme="majorBidi" w:eastAsia="Times New Roman" w:hAnsiTheme="majorBidi" w:cstheme="majorBidi"/>
              </w:rPr>
            </w:pPr>
            <w:bookmarkStart w:id="0" w:name="HC031002"/>
            <w:bookmarkEnd w:id="0"/>
          </w:p>
          <w:p w:rsidR="00C579D1" w:rsidRPr="00D568A0" w:rsidRDefault="00C579D1" w:rsidP="00D568A0">
            <w:pPr>
              <w:tabs>
                <w:tab w:val="right" w:pos="0"/>
              </w:tabs>
              <w:bidi w:val="0"/>
              <w:spacing w:after="0" w:line="240" w:lineRule="auto"/>
              <w:jc w:val="both"/>
              <w:rPr>
                <w:rFonts w:asciiTheme="majorBidi" w:eastAsia="Times New Roman" w:hAnsiTheme="majorBidi" w:cstheme="majorBidi"/>
                <w:b/>
                <w:bCs/>
              </w:rPr>
            </w:pPr>
            <w:r w:rsidRPr="00D568A0">
              <w:rPr>
                <w:rFonts w:asciiTheme="majorBidi" w:eastAsia="Times New Roman" w:hAnsiTheme="majorBidi" w:cstheme="majorBidi"/>
                <w:b/>
                <w:bCs/>
              </w:rPr>
              <w:t xml:space="preserve">BONE STRUCTURE AND COMPOSITION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tblCellSpacing w:w="0" w:type="dxa"/>
        <w:tblInd w:w="-993" w:type="dxa"/>
        <w:tblCellMar>
          <w:left w:w="0" w:type="dxa"/>
          <w:right w:w="0" w:type="dxa"/>
        </w:tblCellMar>
        <w:tblLook w:val="04A0"/>
      </w:tblPr>
      <w:tblGrid>
        <w:gridCol w:w="10206"/>
      </w:tblGrid>
      <w:tr w:rsidR="00C579D1" w:rsidRPr="00510BF4" w:rsidTr="00D568A0">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 w:name="P031002"/>
            <w:bookmarkEnd w:id="1"/>
            <w:r w:rsidRPr="00510BF4">
              <w:rPr>
                <w:rFonts w:asciiTheme="majorBidi" w:eastAsia="Times New Roman" w:hAnsiTheme="majorBidi" w:cstheme="majorBidi"/>
              </w:rPr>
              <w:t xml:space="preserve">The human skeleton consists of 80% cortical bone and 20% </w:t>
            </w:r>
            <w:proofErr w:type="spellStart"/>
            <w:r w:rsidRPr="00510BF4">
              <w:rPr>
                <w:rFonts w:asciiTheme="majorBidi" w:eastAsia="Times New Roman" w:hAnsiTheme="majorBidi" w:cstheme="majorBidi"/>
              </w:rPr>
              <w:t>trabecular</w:t>
            </w:r>
            <w:proofErr w:type="spellEnd"/>
            <w:r w:rsidRPr="00510BF4">
              <w:rPr>
                <w:rFonts w:asciiTheme="majorBidi" w:eastAsia="Times New Roman" w:hAnsiTheme="majorBidi" w:cstheme="majorBidi"/>
              </w:rPr>
              <w:t xml:space="preserve"> bone. Cortical bone is the dense, compact outer part, and </w:t>
            </w:r>
            <w:proofErr w:type="spellStart"/>
            <w:r w:rsidRPr="00510BF4">
              <w:rPr>
                <w:rFonts w:asciiTheme="majorBidi" w:eastAsia="Times New Roman" w:hAnsiTheme="majorBidi" w:cstheme="majorBidi"/>
              </w:rPr>
              <w:t>trabecular</w:t>
            </w:r>
            <w:proofErr w:type="spellEnd"/>
            <w:r w:rsidRPr="00510BF4">
              <w:rPr>
                <w:rFonts w:asciiTheme="majorBidi" w:eastAsia="Times New Roman" w:hAnsiTheme="majorBidi" w:cstheme="majorBidi"/>
              </w:rPr>
              <w:t xml:space="preserve"> bone the inner meshwork. The former predominates in the shafts of long bones, the latter in the vertebrae, the epiphyses of long bones and the iliac crest. </w:t>
            </w:r>
            <w:proofErr w:type="spellStart"/>
            <w:r w:rsidRPr="00510BF4">
              <w:rPr>
                <w:rFonts w:asciiTheme="majorBidi" w:eastAsia="Times New Roman" w:hAnsiTheme="majorBidi" w:cstheme="majorBidi"/>
              </w:rPr>
              <w:t>Trabecular</w:t>
            </w:r>
            <w:proofErr w:type="spellEnd"/>
            <w:r w:rsidRPr="00510BF4">
              <w:rPr>
                <w:rFonts w:asciiTheme="majorBidi" w:eastAsia="Times New Roman" w:hAnsiTheme="majorBidi" w:cstheme="majorBidi"/>
              </w:rPr>
              <w:t xml:space="preserve"> bone, having a large surface area, is metabolically more active and more affected by factors that lead to bone loss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973" w:type="pct"/>
        <w:tblCellSpacing w:w="0" w:type="dxa"/>
        <w:tblInd w:w="-567" w:type="dxa"/>
        <w:tblCellMar>
          <w:left w:w="0" w:type="dxa"/>
          <w:right w:w="0" w:type="dxa"/>
        </w:tblCellMar>
        <w:tblLook w:val="04A0"/>
      </w:tblPr>
      <w:tblGrid>
        <w:gridCol w:w="992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 w:name="P031003"/>
            <w:bookmarkEnd w:id="2"/>
            <w:r w:rsidRPr="00510BF4">
              <w:rPr>
                <w:rFonts w:asciiTheme="majorBidi" w:eastAsia="Times New Roman" w:hAnsiTheme="majorBidi" w:cstheme="majorBidi"/>
              </w:rPr>
              <w:t xml:space="preserve">The main minerals in bone are calcium and phosphates. More than 99% of the calcium in the body is in the skeleton, mostly as crystalline </w:t>
            </w:r>
            <w:proofErr w:type="spellStart"/>
            <w:r w:rsidRPr="00510BF4">
              <w:rPr>
                <w:rFonts w:asciiTheme="majorBidi" w:eastAsia="Times New Roman" w:hAnsiTheme="majorBidi" w:cstheme="majorBidi"/>
              </w:rPr>
              <w:t>hydroxyapatite</w:t>
            </w:r>
            <w:proofErr w:type="spellEnd"/>
            <w:r w:rsidRPr="00510BF4">
              <w:rPr>
                <w:rFonts w:asciiTheme="majorBidi" w:eastAsia="Times New Roman" w:hAnsiTheme="majorBidi" w:cstheme="majorBidi"/>
              </w:rPr>
              <w:t xml:space="preserve"> but some as non-crystalline phosphates and carbonates; together, these make up half the bone mass.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 w:name="P031004"/>
            <w:bookmarkEnd w:id="3"/>
            <w:r w:rsidRPr="00510BF4">
              <w:rPr>
                <w:rFonts w:asciiTheme="majorBidi" w:eastAsia="Times New Roman" w:hAnsiTheme="majorBidi" w:cstheme="majorBidi"/>
              </w:rPr>
              <w:t xml:space="preserve">The main cells in bone homeostasis are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and </w:t>
            </w:r>
            <w:proofErr w:type="spellStart"/>
            <w:r w:rsidRPr="00510BF4">
              <w:rPr>
                <w:rFonts w:asciiTheme="majorBidi" w:eastAsia="Times New Roman" w:hAnsiTheme="majorBidi" w:cstheme="majorBidi"/>
              </w:rPr>
              <w:t>osteocytes</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numPr>
                <w:ilvl w:val="0"/>
                <w:numId w:val="1"/>
              </w:numPr>
              <w:bidi w:val="0"/>
              <w:spacing w:before="100" w:beforeAutospacing="1" w:after="100" w:afterAutospacing="1" w:line="240" w:lineRule="auto"/>
              <w:jc w:val="both"/>
              <w:rPr>
                <w:rFonts w:asciiTheme="majorBidi" w:eastAsia="Times New Roman" w:hAnsiTheme="majorBidi" w:cstheme="majorBidi"/>
              </w:rPr>
            </w:pPr>
            <w:bookmarkStart w:id="4" w:name=""/>
            <w:bookmarkEnd w:id="4"/>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which are derived from precursor cells in the bone marrow and the </w:t>
            </w:r>
            <w:proofErr w:type="spellStart"/>
            <w:r w:rsidRPr="00510BF4">
              <w:rPr>
                <w:rFonts w:asciiTheme="majorBidi" w:eastAsia="Times New Roman" w:hAnsiTheme="majorBidi" w:cstheme="majorBidi"/>
              </w:rPr>
              <w:t>periosteum</w:t>
            </w:r>
            <w:proofErr w:type="spellEnd"/>
            <w:r w:rsidRPr="00510BF4">
              <w:rPr>
                <w:rFonts w:asciiTheme="majorBidi" w:eastAsia="Times New Roman" w:hAnsiTheme="majorBidi" w:cstheme="majorBidi"/>
              </w:rPr>
              <w:t xml:space="preserve">, secrete important components of the extracellular matrix-the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particularly the collagen. They also have a role in the activation of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(see below). </w:t>
            </w:r>
          </w:p>
          <w:p w:rsidR="00C579D1" w:rsidRPr="00510BF4" w:rsidRDefault="00C579D1" w:rsidP="00510BF4">
            <w:pPr>
              <w:numPr>
                <w:ilvl w:val="0"/>
                <w:numId w:val="1"/>
              </w:numPr>
              <w:bidi w:val="0"/>
              <w:spacing w:before="100" w:beforeAutospacing="1" w:after="100" w:afterAutospacing="1" w:line="240" w:lineRule="auto"/>
              <w:jc w:val="both"/>
              <w:rPr>
                <w:rFonts w:asciiTheme="majorBidi" w:eastAsia="Times New Roman" w:hAnsiTheme="majorBidi" w:cstheme="majorBidi"/>
              </w:rPr>
            </w:pP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are multinucleated bone-</w:t>
            </w:r>
            <w:proofErr w:type="spellStart"/>
            <w:r w:rsidRPr="00510BF4">
              <w:rPr>
                <w:rFonts w:asciiTheme="majorBidi" w:eastAsia="Times New Roman" w:hAnsiTheme="majorBidi" w:cstheme="majorBidi"/>
              </w:rPr>
              <w:t>resorbing</w:t>
            </w:r>
            <w:proofErr w:type="spellEnd"/>
            <w:r w:rsidRPr="00510BF4">
              <w:rPr>
                <w:rFonts w:asciiTheme="majorBidi" w:eastAsia="Times New Roman" w:hAnsiTheme="majorBidi" w:cstheme="majorBidi"/>
              </w:rPr>
              <w:t xml:space="preserve"> cells derived from precursor cells of the macrophage/</w:t>
            </w:r>
            <w:proofErr w:type="spellStart"/>
            <w:r w:rsidRPr="00510BF4">
              <w:rPr>
                <w:rFonts w:asciiTheme="majorBidi" w:eastAsia="Times New Roman" w:hAnsiTheme="majorBidi" w:cstheme="majorBidi"/>
              </w:rPr>
              <w:t>monocyte</w:t>
            </w:r>
            <w:proofErr w:type="spellEnd"/>
            <w:r w:rsidRPr="00510BF4">
              <w:rPr>
                <w:rFonts w:asciiTheme="majorBidi" w:eastAsia="Times New Roman" w:hAnsiTheme="majorBidi" w:cstheme="majorBidi"/>
              </w:rPr>
              <w:t xml:space="preserve"> lineage. </w:t>
            </w:r>
          </w:p>
          <w:p w:rsidR="00C579D1" w:rsidRPr="00510BF4" w:rsidRDefault="00C579D1" w:rsidP="00510BF4">
            <w:pPr>
              <w:numPr>
                <w:ilvl w:val="0"/>
                <w:numId w:val="1"/>
              </w:numPr>
              <w:bidi w:val="0"/>
              <w:spacing w:before="100" w:beforeAutospacing="1" w:after="100" w:afterAutospacing="1" w:line="240" w:lineRule="auto"/>
              <w:jc w:val="both"/>
              <w:rPr>
                <w:rFonts w:asciiTheme="majorBidi" w:eastAsia="Times New Roman" w:hAnsiTheme="majorBidi" w:cstheme="majorBidi"/>
              </w:rPr>
            </w:pPr>
            <w:proofErr w:type="spellStart"/>
            <w:r w:rsidRPr="00510BF4">
              <w:rPr>
                <w:rFonts w:asciiTheme="majorBidi" w:eastAsia="Times New Roman" w:hAnsiTheme="majorBidi" w:cstheme="majorBidi"/>
              </w:rPr>
              <w:t>Osteocytes</w:t>
            </w:r>
            <w:proofErr w:type="spellEnd"/>
            <w:r w:rsidRPr="00510BF4">
              <w:rPr>
                <w:rFonts w:asciiTheme="majorBidi" w:eastAsia="Times New Roman" w:hAnsiTheme="majorBidi" w:cstheme="majorBidi"/>
              </w:rPr>
              <w:t xml:space="preserve"> are derived from the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which, during the formation of new bone, become embedded in the bony matrix and differentiate into </w:t>
            </w:r>
            <w:proofErr w:type="spellStart"/>
            <w:r w:rsidRPr="00510BF4">
              <w:rPr>
                <w:rFonts w:asciiTheme="majorBidi" w:eastAsia="Times New Roman" w:hAnsiTheme="majorBidi" w:cstheme="majorBidi"/>
              </w:rPr>
              <w:t>osteocytes</w:t>
            </w:r>
            <w:proofErr w:type="spellEnd"/>
            <w:r w:rsidRPr="00510BF4">
              <w:rPr>
                <w:rFonts w:asciiTheme="majorBidi" w:eastAsia="Times New Roman" w:hAnsiTheme="majorBidi" w:cstheme="majorBidi"/>
              </w:rPr>
              <w:t xml:space="preserve">. These cells form a connected cellular network that, along with the nerve </w:t>
            </w:r>
            <w:proofErr w:type="spellStart"/>
            <w:r w:rsidRPr="00510BF4">
              <w:rPr>
                <w:rFonts w:asciiTheme="majorBidi" w:eastAsia="Times New Roman" w:hAnsiTheme="majorBidi" w:cstheme="majorBidi"/>
              </w:rPr>
              <w:t>fibres</w:t>
            </w:r>
            <w:proofErr w:type="spellEnd"/>
            <w:r w:rsidRPr="00510BF4">
              <w:rPr>
                <w:rFonts w:asciiTheme="majorBidi" w:eastAsia="Times New Roman" w:hAnsiTheme="majorBidi" w:cstheme="majorBidi"/>
              </w:rPr>
              <w:t xml:space="preserve"> in bone, is thought to have a role in the response to mechanical loading. </w:t>
            </w:r>
          </w:p>
          <w:p w:rsidR="00C579D1" w:rsidRPr="00510BF4" w:rsidRDefault="00C579D1" w:rsidP="00510BF4">
            <w:pPr>
              <w:numPr>
                <w:ilvl w:val="0"/>
                <w:numId w:val="1"/>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Other cells of importance are </w:t>
            </w:r>
            <w:proofErr w:type="spellStart"/>
            <w:r w:rsidRPr="00510BF4">
              <w:rPr>
                <w:rFonts w:asciiTheme="majorBidi" w:eastAsia="Times New Roman" w:hAnsiTheme="majorBidi" w:cstheme="majorBidi"/>
              </w:rPr>
              <w:t>monocytes</w:t>
            </w:r>
            <w:proofErr w:type="spellEnd"/>
            <w:r w:rsidRPr="00510BF4">
              <w:rPr>
                <w:rFonts w:asciiTheme="majorBidi" w:eastAsia="Times New Roman" w:hAnsiTheme="majorBidi" w:cstheme="majorBidi"/>
              </w:rPr>
              <w:t xml:space="preserve">/macrophages, lymphocytes and vascular endothelial cells; these secrete cytokines and other mediators necessary for bone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 w:name="P031005"/>
            <w:bookmarkEnd w:id="5"/>
            <w:r w:rsidRPr="00510BF4">
              <w:rPr>
                <w:rFonts w:asciiTheme="majorBidi" w:eastAsia="Times New Roman" w:hAnsiTheme="majorBidi" w:cstheme="majorBidi"/>
              </w:rPr>
              <w:t xml:space="preserve">The organic matrix of bone is termed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the principal component of which is collagen. But there are also other components such as </w:t>
            </w:r>
            <w:proofErr w:type="spellStart"/>
            <w:r w:rsidRPr="00510BF4">
              <w:rPr>
                <w:rFonts w:asciiTheme="majorBidi" w:eastAsia="Times New Roman" w:hAnsiTheme="majorBidi" w:cstheme="majorBidi"/>
              </w:rPr>
              <w:t>proteoglycans</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osteocalcin</w:t>
            </w:r>
            <w:proofErr w:type="spellEnd"/>
            <w:r w:rsidRPr="00510BF4">
              <w:rPr>
                <w:rFonts w:asciiTheme="majorBidi" w:eastAsia="Times New Roman" w:hAnsiTheme="majorBidi" w:cstheme="majorBidi"/>
              </w:rPr>
              <w:t xml:space="preserve"> and various </w:t>
            </w:r>
            <w:proofErr w:type="spellStart"/>
            <w:r w:rsidRPr="00510BF4">
              <w:rPr>
                <w:rFonts w:asciiTheme="majorBidi" w:eastAsia="Times New Roman" w:hAnsiTheme="majorBidi" w:cstheme="majorBidi"/>
              </w:rPr>
              <w:t>phosphoproteins</w:t>
            </w:r>
            <w:proofErr w:type="spellEnd"/>
            <w:r w:rsidRPr="00510BF4">
              <w:rPr>
                <w:rFonts w:asciiTheme="majorBidi" w:eastAsia="Times New Roman" w:hAnsiTheme="majorBidi" w:cstheme="majorBidi"/>
              </w:rPr>
              <w:t xml:space="preserve">, one of which, </w:t>
            </w:r>
            <w:proofErr w:type="spellStart"/>
            <w:r w:rsidRPr="00510BF4">
              <w:rPr>
                <w:rFonts w:asciiTheme="majorBidi" w:eastAsia="Times New Roman" w:hAnsiTheme="majorBidi" w:cstheme="majorBidi"/>
              </w:rPr>
              <w:t>osteonectin</w:t>
            </w:r>
            <w:proofErr w:type="spellEnd"/>
            <w:r w:rsidRPr="00510BF4">
              <w:rPr>
                <w:rFonts w:asciiTheme="majorBidi" w:eastAsia="Times New Roman" w:hAnsiTheme="majorBidi" w:cstheme="majorBidi"/>
              </w:rPr>
              <w:t xml:space="preserve">, binds to both calcium and collagen and thus links these two major constituents of bone matrix.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 w:name="P031006"/>
            <w:bookmarkEnd w:id="6"/>
            <w:r w:rsidRPr="00510BF4">
              <w:rPr>
                <w:rFonts w:asciiTheme="majorBidi" w:eastAsia="Times New Roman" w:hAnsiTheme="majorBidi" w:cstheme="majorBidi"/>
              </w:rPr>
              <w:t xml:space="preserve">Calcium phosphate crystals in the form of </w:t>
            </w:r>
            <w:proofErr w:type="spellStart"/>
            <w:r w:rsidRPr="00510BF4">
              <w:rPr>
                <w:rFonts w:asciiTheme="majorBidi" w:eastAsia="Times New Roman" w:hAnsiTheme="majorBidi" w:cstheme="majorBidi"/>
              </w:rPr>
              <w:t>hydroxyapatite</w:t>
            </w:r>
            <w:proofErr w:type="spellEnd"/>
            <w:r w:rsidRPr="00510BF4">
              <w:rPr>
                <w:rFonts w:asciiTheme="majorBidi" w:eastAsia="Times New Roman" w:hAnsiTheme="majorBidi" w:cstheme="majorBidi"/>
              </w:rPr>
              <w:t xml:space="preserve"> [</w:t>
            </w:r>
            <w:proofErr w:type="gramStart"/>
            <w:r w:rsidRPr="00510BF4">
              <w:rPr>
                <w:rFonts w:asciiTheme="majorBidi" w:eastAsia="Times New Roman" w:hAnsiTheme="majorBidi" w:cstheme="majorBidi"/>
              </w:rPr>
              <w:t>Ca</w:t>
            </w:r>
            <w:r w:rsidRPr="00510BF4">
              <w:rPr>
                <w:rFonts w:asciiTheme="majorBidi" w:eastAsia="Times New Roman" w:hAnsiTheme="majorBidi" w:cstheme="majorBidi"/>
                <w:vertAlign w:val="subscript"/>
              </w:rPr>
              <w:t>10</w:t>
            </w:r>
            <w:r w:rsidRPr="00510BF4">
              <w:rPr>
                <w:rFonts w:asciiTheme="majorBidi" w:eastAsia="Times New Roman" w:hAnsiTheme="majorBidi" w:cstheme="majorBidi"/>
              </w:rPr>
              <w:t>(</w:t>
            </w:r>
            <w:proofErr w:type="gramEnd"/>
            <w:r w:rsidRPr="00510BF4">
              <w:rPr>
                <w:rFonts w:asciiTheme="majorBidi" w:eastAsia="Times New Roman" w:hAnsiTheme="majorBidi" w:cstheme="majorBidi"/>
              </w:rPr>
              <w:t>PO</w:t>
            </w:r>
            <w:r w:rsidRPr="00510BF4">
              <w:rPr>
                <w:rFonts w:asciiTheme="majorBidi" w:eastAsia="Times New Roman" w:hAnsiTheme="majorBidi" w:cstheme="majorBidi"/>
                <w:vertAlign w:val="subscript"/>
              </w:rPr>
              <w:t>4</w:t>
            </w:r>
            <w:r w:rsidRPr="00510BF4">
              <w:rPr>
                <w:rFonts w:asciiTheme="majorBidi" w:eastAsia="Times New Roman" w:hAnsiTheme="majorBidi" w:cstheme="majorBidi"/>
              </w:rPr>
              <w:t>)</w:t>
            </w:r>
            <w:r w:rsidRPr="00510BF4">
              <w:rPr>
                <w:rFonts w:asciiTheme="majorBidi" w:eastAsia="Times New Roman" w:hAnsiTheme="majorBidi" w:cstheme="majorBidi"/>
                <w:vertAlign w:val="subscript"/>
              </w:rPr>
              <w:t>6</w:t>
            </w:r>
            <w:r w:rsidRPr="00510BF4">
              <w:rPr>
                <w:rFonts w:asciiTheme="majorBidi" w:eastAsia="Times New Roman" w:hAnsiTheme="majorBidi" w:cstheme="majorBidi"/>
              </w:rPr>
              <w:t>(OH)</w:t>
            </w:r>
            <w:r w:rsidRPr="00510BF4">
              <w:rPr>
                <w:rFonts w:asciiTheme="majorBidi" w:eastAsia="Times New Roman" w:hAnsiTheme="majorBidi" w:cstheme="majorBidi"/>
                <w:vertAlign w:val="subscript"/>
              </w:rPr>
              <w:t>2</w:t>
            </w:r>
            <w:r w:rsidRPr="00510BF4">
              <w:rPr>
                <w:rFonts w:asciiTheme="majorBidi" w:eastAsia="Times New Roman" w:hAnsiTheme="majorBidi" w:cstheme="majorBidi"/>
              </w:rPr>
              <w:t xml:space="preserve">] are deposited in 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converting it into hard bone matrix.</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718" w:type="pct"/>
        <w:tblCellSpacing w:w="0" w:type="dxa"/>
        <w:tblCellMar>
          <w:left w:w="0" w:type="dxa"/>
          <w:right w:w="0" w:type="dxa"/>
        </w:tblCellMar>
        <w:tblLook w:val="04A0"/>
      </w:tblPr>
      <w:tblGrid>
        <w:gridCol w:w="949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 w:name="P031007"/>
            <w:bookmarkEnd w:id="7"/>
          </w:p>
        </w:tc>
      </w:tr>
      <w:tr w:rsidR="00C579D1" w:rsidRPr="00510BF4" w:rsidTr="00BD7FF7">
        <w:trPr>
          <w:tblCellSpacing w:w="0" w:type="dxa"/>
        </w:trPr>
        <w:tc>
          <w:tcPr>
            <w:tcW w:w="5000" w:type="pct"/>
            <w:shd w:val="clear" w:color="auto" w:fill="FFFFFF"/>
            <w:vAlign w:val="center"/>
            <w:hideMark/>
          </w:tcPr>
          <w:p w:rsidR="00970623" w:rsidRPr="00510BF4" w:rsidRDefault="00970623" w:rsidP="00510BF4">
            <w:pPr>
              <w:bidi w:val="0"/>
              <w:spacing w:after="0" w:line="240" w:lineRule="auto"/>
              <w:jc w:val="both"/>
              <w:rPr>
                <w:rFonts w:asciiTheme="majorBidi" w:eastAsia="Times New Roman" w:hAnsiTheme="majorBidi" w:cstheme="majorBidi"/>
              </w:rPr>
            </w:pPr>
            <w:bookmarkStart w:id="8" w:name="HC031003"/>
            <w:bookmarkEnd w:id="8"/>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 w:name="P031008"/>
            <w:bookmarkEnd w:id="9"/>
            <w:r w:rsidRPr="00510BF4">
              <w:rPr>
                <w:rFonts w:asciiTheme="majorBidi" w:eastAsia="Times New Roman" w:hAnsiTheme="majorBidi" w:cstheme="majorBidi"/>
              </w:rPr>
              <w:t xml:space="preserve">The process of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involves the following: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461" w:type="pct"/>
        <w:tblCellSpacing w:w="0" w:type="dxa"/>
        <w:tblCellMar>
          <w:left w:w="0" w:type="dxa"/>
          <w:right w:w="0" w:type="dxa"/>
        </w:tblCellMar>
        <w:tblLook w:val="04A0"/>
      </w:tblPr>
      <w:tblGrid>
        <w:gridCol w:w="9072"/>
      </w:tblGrid>
      <w:tr w:rsidR="00C579D1" w:rsidRPr="00510BF4" w:rsidTr="00C44B01">
        <w:trPr>
          <w:tblCellSpacing w:w="0" w:type="dxa"/>
        </w:trPr>
        <w:tc>
          <w:tcPr>
            <w:tcW w:w="5000" w:type="pct"/>
            <w:shd w:val="clear" w:color="auto" w:fill="FFFFFF"/>
            <w:vAlign w:val="center"/>
            <w:hideMark/>
          </w:tcPr>
          <w:p w:rsidR="00C579D1" w:rsidRPr="00510BF4" w:rsidRDefault="00C579D1" w:rsidP="00510BF4">
            <w:pPr>
              <w:numPr>
                <w:ilvl w:val="0"/>
                <w:numId w:val="2"/>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activity of two main cell types: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that secrete new bone matrix and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that break it down </w:t>
            </w:r>
          </w:p>
          <w:p w:rsidR="00C579D1" w:rsidRPr="00510BF4" w:rsidRDefault="00C579D1" w:rsidP="00510BF4">
            <w:pPr>
              <w:numPr>
                <w:ilvl w:val="0"/>
                <w:numId w:val="2"/>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actions of a variety of cytokines; </w:t>
            </w:r>
          </w:p>
          <w:p w:rsidR="00C579D1" w:rsidRPr="00510BF4" w:rsidRDefault="00C579D1" w:rsidP="00510BF4">
            <w:pPr>
              <w:numPr>
                <w:ilvl w:val="0"/>
                <w:numId w:val="2"/>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turnover of bone minerals-particularly calcium and phosphate </w:t>
            </w:r>
          </w:p>
          <w:p w:rsidR="00C579D1" w:rsidRPr="00510BF4" w:rsidRDefault="00C579D1" w:rsidP="00510BF4">
            <w:pPr>
              <w:numPr>
                <w:ilvl w:val="0"/>
                <w:numId w:val="2"/>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actions of several hormones: parathyroid hormone (PTH), the vitamin D family, </w:t>
            </w:r>
            <w:proofErr w:type="spellStart"/>
            <w:r w:rsidRPr="00510BF4">
              <w:rPr>
                <w:rFonts w:asciiTheme="majorBidi" w:eastAsia="Times New Roman" w:hAnsiTheme="majorBidi" w:cstheme="majorBidi"/>
              </w:rPr>
              <w:t>oestrogens</w:t>
            </w:r>
            <w:proofErr w:type="spellEnd"/>
            <w:r w:rsidRPr="00510BF4">
              <w:rPr>
                <w:rFonts w:asciiTheme="majorBidi" w:eastAsia="Times New Roman" w:hAnsiTheme="majorBidi" w:cstheme="majorBidi"/>
              </w:rPr>
              <w:t xml:space="preserve">, growth hormone, steroids,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and various cytokines</w:t>
            </w:r>
          </w:p>
        </w:tc>
      </w:tr>
    </w:tbl>
    <w:p w:rsidR="00F34CAA" w:rsidRPr="00510BF4" w:rsidRDefault="00C579D1" w:rsidP="00510BF4">
      <w:pPr>
        <w:bidi w:val="0"/>
        <w:spacing w:line="240" w:lineRule="auto"/>
        <w:jc w:val="both"/>
        <w:rPr>
          <w:rFonts w:asciiTheme="majorBidi" w:hAnsiTheme="majorBidi" w:cstheme="majorBidi"/>
          <w:lang w:bidi="ar-IQ"/>
        </w:rPr>
      </w:pPr>
      <w:r w:rsidRPr="00510BF4">
        <w:rPr>
          <w:rFonts w:asciiTheme="majorBidi" w:hAnsiTheme="majorBidi" w:cstheme="majorBidi"/>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267325" cy="4838700"/>
            <wp:effectExtent l="19050" t="0" r="9525"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4838700"/>
                    </a:xfrm>
                    <a:prstGeom prst="rect">
                      <a:avLst/>
                    </a:prstGeom>
                    <a:noFill/>
                    <a:ln w="9525">
                      <a:noFill/>
                      <a:miter lim="800000"/>
                      <a:headEnd/>
                      <a:tailEnd/>
                    </a:ln>
                  </pic:spPr>
                </pic:pic>
              </a:graphicData>
            </a:graphic>
          </wp:anchor>
        </w:drawing>
      </w:r>
      <w:r w:rsidR="00970623" w:rsidRPr="00510BF4">
        <w:rPr>
          <w:rFonts w:asciiTheme="majorBidi" w:hAnsiTheme="majorBidi" w:cstheme="majorBidi"/>
          <w:lang w:bidi="ar-IQ"/>
        </w:rPr>
        <w:br w:type="textWrapping" w:clear="all"/>
      </w:r>
    </w:p>
    <w:p w:rsidR="00C579D1" w:rsidRPr="00510BF4" w:rsidRDefault="00C579D1" w:rsidP="00510BF4">
      <w:pPr>
        <w:bidi w:val="0"/>
        <w:spacing w:line="240" w:lineRule="auto"/>
        <w:jc w:val="both"/>
        <w:rPr>
          <w:rFonts w:asciiTheme="majorBidi" w:hAnsiTheme="majorBidi" w:cstheme="majorBidi"/>
          <w:rtl/>
          <w:lang w:bidi="ar-IQ"/>
        </w:rPr>
      </w:pPr>
      <w:r w:rsidRPr="00510BF4">
        <w:rPr>
          <w:rFonts w:asciiTheme="majorBidi" w:hAnsiTheme="majorBidi" w:cstheme="majorBidi"/>
          <w:noProof/>
        </w:rPr>
        <w:lastRenderedPageBreak/>
        <w:drawing>
          <wp:inline distT="0" distB="0" distL="0" distR="0">
            <wp:extent cx="4924425" cy="1943100"/>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24425" cy="1943100"/>
                    </a:xfrm>
                    <a:prstGeom prst="rect">
                      <a:avLst/>
                    </a:prstGeom>
                    <a:noFill/>
                    <a:ln w="9525">
                      <a:noFill/>
                      <a:miter lim="800000"/>
                      <a:headEnd/>
                      <a:tailEnd/>
                    </a:ln>
                  </pic:spPr>
                </pic:pic>
              </a:graphicData>
            </a:graphic>
          </wp:inline>
        </w:drawing>
      </w:r>
    </w:p>
    <w:p w:rsidR="00C579D1" w:rsidRPr="00510BF4" w:rsidRDefault="00C579D1" w:rsidP="00510BF4">
      <w:pPr>
        <w:bidi w:val="0"/>
        <w:spacing w:line="240" w:lineRule="auto"/>
        <w:jc w:val="both"/>
        <w:rPr>
          <w:rFonts w:asciiTheme="majorBidi" w:hAnsiTheme="majorBidi" w:cstheme="majorBidi"/>
          <w:rtl/>
          <w:lang w:bidi="ar-IQ"/>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 w:name="P031010"/>
            <w:bookmarkEnd w:id="10"/>
            <w:r w:rsidRPr="00510BF4">
              <w:rPr>
                <w:rFonts w:asciiTheme="majorBidi" w:eastAsia="Times New Roman" w:hAnsiTheme="majorBidi" w:cstheme="majorBidi"/>
              </w:rPr>
              <w:t xml:space="preserve">A cycle of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starts with recruitment of the cells that give rise to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precursors, and their differentiation to mature </w:t>
            </w:r>
            <w:proofErr w:type="spellStart"/>
            <w:r w:rsidRPr="00510BF4">
              <w:rPr>
                <w:rFonts w:asciiTheme="majorBidi" w:eastAsia="Times New Roman" w:hAnsiTheme="majorBidi" w:cstheme="majorBidi"/>
              </w:rPr>
              <w:t>multinuceated</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by cytokines The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adhere to an area of </w:t>
            </w:r>
            <w:proofErr w:type="spellStart"/>
            <w:r w:rsidRPr="00510BF4">
              <w:rPr>
                <w:rFonts w:asciiTheme="majorBidi" w:eastAsia="Times New Roman" w:hAnsiTheme="majorBidi" w:cstheme="majorBidi"/>
              </w:rPr>
              <w:t>trabecular</w:t>
            </w:r>
            <w:proofErr w:type="spellEnd"/>
            <w:r w:rsidRPr="00510BF4">
              <w:rPr>
                <w:rFonts w:asciiTheme="majorBidi" w:eastAsia="Times New Roman" w:hAnsiTheme="majorBidi" w:cstheme="majorBidi"/>
              </w:rPr>
              <w:t xml:space="preserve"> bone, developing a ruffled border at the attachment site. They move along the bone, digging a pit by secreting hydrogen ions and </w:t>
            </w:r>
            <w:proofErr w:type="spellStart"/>
            <w:r w:rsidRPr="00510BF4">
              <w:rPr>
                <w:rFonts w:asciiTheme="majorBidi" w:eastAsia="Times New Roman" w:hAnsiTheme="majorBidi" w:cstheme="majorBidi"/>
              </w:rPr>
              <w:t>proteolytic</w:t>
            </w:r>
            <w:proofErr w:type="spellEnd"/>
            <w:r w:rsidRPr="00510BF4">
              <w:rPr>
                <w:rFonts w:asciiTheme="majorBidi" w:eastAsia="Times New Roman" w:hAnsiTheme="majorBidi" w:cstheme="majorBidi"/>
              </w:rPr>
              <w:t xml:space="preserve"> enzymes. This process gradually liberates cytokines such as insulin-like growth factor (IGF)-1 and transforming growth factor (TGF)-β, which have been embedded in 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(these in turn recruit and activate successive teams of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that have been stimulated to develop from precursor cells and are awaiting the call to duty The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invade the site, </w:t>
            </w:r>
            <w:proofErr w:type="spellStart"/>
            <w:r w:rsidRPr="00510BF4">
              <w:rPr>
                <w:rFonts w:asciiTheme="majorBidi" w:eastAsia="Times New Roman" w:hAnsiTheme="majorBidi" w:cstheme="majorBidi"/>
              </w:rPr>
              <w:t>synthesising</w:t>
            </w:r>
            <w:proofErr w:type="spellEnd"/>
            <w:r w:rsidRPr="00510BF4">
              <w:rPr>
                <w:rFonts w:asciiTheme="majorBidi" w:eastAsia="Times New Roman" w:hAnsiTheme="majorBidi" w:cstheme="majorBidi"/>
              </w:rPr>
              <w:t xml:space="preserve"> and secreting the organic matrix of bone, 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and secreting IGF-1 and TGF-β (which become embedded in 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see above). Some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become embedded in the </w:t>
            </w:r>
            <w:proofErr w:type="spellStart"/>
            <w:r w:rsidRPr="00510BF4">
              <w:rPr>
                <w:rFonts w:asciiTheme="majorBidi" w:eastAsia="Times New Roman" w:hAnsiTheme="majorBidi" w:cstheme="majorBidi"/>
              </w:rPr>
              <w:t>osteoid</w:t>
            </w:r>
            <w:proofErr w:type="spellEnd"/>
            <w:r w:rsidRPr="00510BF4">
              <w:rPr>
                <w:rFonts w:asciiTheme="majorBidi" w:eastAsia="Times New Roman" w:hAnsiTheme="majorBidi" w:cstheme="majorBidi"/>
              </w:rPr>
              <w:t xml:space="preserve">, forming terminal </w:t>
            </w:r>
            <w:proofErr w:type="spellStart"/>
            <w:r w:rsidRPr="00510BF4">
              <w:rPr>
                <w:rFonts w:asciiTheme="majorBidi" w:eastAsia="Times New Roman" w:hAnsiTheme="majorBidi" w:cstheme="majorBidi"/>
              </w:rPr>
              <w:t>osteocytes</w:t>
            </w:r>
            <w:proofErr w:type="spellEnd"/>
            <w:r w:rsidRPr="00510BF4">
              <w:rPr>
                <w:rFonts w:asciiTheme="majorBidi" w:eastAsia="Times New Roman" w:hAnsiTheme="majorBidi" w:cstheme="majorBidi"/>
              </w:rPr>
              <w:t xml:space="preserve">; others interact with and activate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precursors-and we are back to the beginning of the cycle.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1" w:name="P031013"/>
            <w:bookmarkEnd w:id="11"/>
            <w:r w:rsidRPr="00510BF4">
              <w:rPr>
                <w:rFonts w:asciiTheme="majorBidi" w:eastAsia="Times New Roman" w:hAnsiTheme="majorBidi" w:cstheme="majorBidi"/>
              </w:rPr>
              <w:t xml:space="preserve">Cytokines involved in bone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other than IGF-1 and TGF-β include other members of the TGF-β family, such as the bone </w:t>
            </w:r>
            <w:proofErr w:type="spellStart"/>
            <w:r w:rsidRPr="00510BF4">
              <w:rPr>
                <w:rFonts w:asciiTheme="majorBidi" w:eastAsia="Times New Roman" w:hAnsiTheme="majorBidi" w:cstheme="majorBidi"/>
              </w:rPr>
              <w:t>morphogenic</w:t>
            </w:r>
            <w:proofErr w:type="spellEnd"/>
            <w:r w:rsidRPr="00510BF4">
              <w:rPr>
                <w:rFonts w:asciiTheme="majorBidi" w:eastAsia="Times New Roman" w:hAnsiTheme="majorBidi" w:cstheme="majorBidi"/>
              </w:rPr>
              <w:t xml:space="preserve"> proteins, a range of interleukins, prostaglandins, various hormones, and members of the </w:t>
            </w:r>
            <w:proofErr w:type="spellStart"/>
            <w:r w:rsidRPr="00510BF4">
              <w:rPr>
                <w:rFonts w:asciiTheme="majorBidi" w:eastAsia="Times New Roman" w:hAnsiTheme="majorBidi" w:cstheme="majorBidi"/>
              </w:rPr>
              <w:t>tumour</w:t>
            </w:r>
            <w:proofErr w:type="spellEnd"/>
            <w:r w:rsidRPr="00510BF4">
              <w:rPr>
                <w:rFonts w:asciiTheme="majorBidi" w:eastAsia="Times New Roman" w:hAnsiTheme="majorBidi" w:cstheme="majorBidi"/>
              </w:rPr>
              <w:t xml:space="preserve"> necrosis factor family. A member of this last family-a </w:t>
            </w:r>
            <w:proofErr w:type="spellStart"/>
            <w:r w:rsidRPr="00510BF4">
              <w:rPr>
                <w:rFonts w:asciiTheme="majorBidi" w:eastAsia="Times New Roman" w:hAnsiTheme="majorBidi" w:cstheme="majorBidi"/>
              </w:rPr>
              <w:t>ligand</w:t>
            </w:r>
            <w:proofErr w:type="spellEnd"/>
            <w:r w:rsidRPr="00510BF4">
              <w:rPr>
                <w:rFonts w:asciiTheme="majorBidi" w:eastAsia="Times New Roman" w:hAnsiTheme="majorBidi" w:cstheme="majorBidi"/>
              </w:rPr>
              <w:t xml:space="preserve"> for a receptor on the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precursor cell-is of particular importance. The receptor is termed (wait for it-biological terminology has fallen over its own feet here) RANK, which stands for receptor activator of nuclear factor kappa B (</w:t>
            </w:r>
            <w:proofErr w:type="spellStart"/>
            <w:r w:rsidRPr="00510BF4">
              <w:rPr>
                <w:rFonts w:asciiTheme="majorBidi" w:eastAsia="Times New Roman" w:hAnsiTheme="majorBidi" w:cstheme="majorBidi"/>
              </w:rPr>
              <w:t>NFκB</w:t>
            </w:r>
            <w:proofErr w:type="spellEnd"/>
            <w:r w:rsidRPr="00510BF4">
              <w:rPr>
                <w:rFonts w:asciiTheme="majorBidi" w:eastAsia="Times New Roman" w:hAnsiTheme="majorBidi" w:cstheme="majorBidi"/>
              </w:rPr>
              <w:t>)-</w:t>
            </w:r>
            <w:proofErr w:type="spellStart"/>
            <w:r w:rsidRPr="00510BF4">
              <w:rPr>
                <w:rFonts w:asciiTheme="majorBidi" w:eastAsia="Times New Roman" w:hAnsiTheme="majorBidi" w:cstheme="majorBidi"/>
              </w:rPr>
              <w:t>NFκB</w:t>
            </w:r>
            <w:proofErr w:type="spellEnd"/>
            <w:r w:rsidRPr="00510BF4">
              <w:rPr>
                <w:rFonts w:asciiTheme="majorBidi" w:eastAsia="Times New Roman" w:hAnsiTheme="majorBidi" w:cstheme="majorBidi"/>
              </w:rPr>
              <w:t xml:space="preserve"> being the principal transduction factor involved in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differentiation and activation. And the </w:t>
            </w:r>
            <w:proofErr w:type="spellStart"/>
            <w:r w:rsidRPr="00510BF4">
              <w:rPr>
                <w:rFonts w:asciiTheme="majorBidi" w:eastAsia="Times New Roman" w:hAnsiTheme="majorBidi" w:cstheme="majorBidi"/>
              </w:rPr>
              <w:t>ligand</w:t>
            </w:r>
            <w:proofErr w:type="spellEnd"/>
            <w:r w:rsidRPr="00510BF4">
              <w:rPr>
                <w:rFonts w:asciiTheme="majorBidi" w:eastAsia="Times New Roman" w:hAnsiTheme="majorBidi" w:cstheme="majorBidi"/>
              </w:rPr>
              <w:t xml:space="preserve"> is termed, unsurprisingly, RANK </w:t>
            </w:r>
            <w:proofErr w:type="spellStart"/>
            <w:r w:rsidRPr="00510BF4">
              <w:rPr>
                <w:rFonts w:asciiTheme="majorBidi" w:eastAsia="Times New Roman" w:hAnsiTheme="majorBidi" w:cstheme="majorBidi"/>
              </w:rPr>
              <w:t>ligand</w:t>
            </w:r>
            <w:proofErr w:type="spellEnd"/>
            <w:r w:rsidRPr="00510BF4">
              <w:rPr>
                <w:rFonts w:asciiTheme="majorBidi" w:eastAsia="Times New Roman" w:hAnsiTheme="majorBidi" w:cstheme="majorBidi"/>
              </w:rPr>
              <w:t xml:space="preserve"> (RANKL).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29" w:type="pct"/>
        <w:tblCellSpacing w:w="0" w:type="dxa"/>
        <w:tblInd w:w="-1134" w:type="dxa"/>
        <w:tblCellMar>
          <w:left w:w="0" w:type="dxa"/>
          <w:right w:w="0" w:type="dxa"/>
        </w:tblCellMar>
        <w:tblLook w:val="04A0"/>
      </w:tblPr>
      <w:tblGrid>
        <w:gridCol w:w="10348"/>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2" w:name="P031014"/>
            <w:bookmarkEnd w:id="12"/>
            <w:r w:rsidRPr="00510BF4">
              <w:rPr>
                <w:rFonts w:asciiTheme="majorBidi" w:eastAsia="Times New Roman" w:hAnsiTheme="majorBidi" w:cstheme="majorBidi"/>
              </w:rPr>
              <w:t xml:space="preserve">The </w:t>
            </w:r>
            <w:proofErr w:type="spellStart"/>
            <w:r w:rsidRPr="00510BF4">
              <w:rPr>
                <w:rFonts w:asciiTheme="majorBidi" w:eastAsia="Times New Roman" w:hAnsiTheme="majorBidi" w:cstheme="majorBidi"/>
              </w:rPr>
              <w:t>stromal</w:t>
            </w:r>
            <w:proofErr w:type="spellEnd"/>
            <w:r w:rsidRPr="00510BF4">
              <w:rPr>
                <w:rFonts w:asciiTheme="majorBidi" w:eastAsia="Times New Roman" w:hAnsiTheme="majorBidi" w:cstheme="majorBidi"/>
              </w:rPr>
              <w:t xml:space="preserve"> cell and the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synthesise</w:t>
            </w:r>
            <w:proofErr w:type="spellEnd"/>
            <w:r w:rsidRPr="00510BF4">
              <w:rPr>
                <w:rFonts w:asciiTheme="majorBidi" w:eastAsia="Times New Roman" w:hAnsiTheme="majorBidi" w:cstheme="majorBidi"/>
              </w:rPr>
              <w:t xml:space="preserve"> and release a molecule termed </w:t>
            </w:r>
            <w:proofErr w:type="spellStart"/>
            <w:r w:rsidRPr="00510BF4">
              <w:rPr>
                <w:rFonts w:asciiTheme="majorBidi" w:eastAsia="Times New Roman" w:hAnsiTheme="majorBidi" w:cstheme="majorBidi"/>
              </w:rPr>
              <w:t>osteoprotegerin</w:t>
            </w:r>
            <w:proofErr w:type="spellEnd"/>
            <w:r w:rsidRPr="00510BF4">
              <w:rPr>
                <w:rFonts w:asciiTheme="majorBidi" w:eastAsia="Times New Roman" w:hAnsiTheme="majorBidi" w:cstheme="majorBidi"/>
              </w:rPr>
              <w:t xml:space="preserve"> (OPG), identical with RANK, which functions as a decoy receptor. In a sibling-undermining process by the two cells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w:t>
            </w:r>
            <w:proofErr w:type="spellStart"/>
            <w:r w:rsidRPr="00510BF4">
              <w:rPr>
                <w:rFonts w:asciiTheme="majorBidi" w:eastAsia="Times New Roman" w:hAnsiTheme="majorBidi" w:cstheme="majorBidi"/>
              </w:rPr>
              <w:t>stromal</w:t>
            </w:r>
            <w:proofErr w:type="spellEnd"/>
            <w:r w:rsidRPr="00510BF4">
              <w:rPr>
                <w:rFonts w:asciiTheme="majorBidi" w:eastAsia="Times New Roman" w:hAnsiTheme="majorBidi" w:cstheme="majorBidi"/>
              </w:rPr>
              <w:t xml:space="preserve"> cell and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precursor), OPG can bind to RANKL</w:t>
            </w:r>
            <w:r w:rsidRPr="00510BF4">
              <w:rPr>
                <w:rFonts w:asciiTheme="majorBidi" w:eastAsia="Times New Roman" w:hAnsiTheme="majorBidi" w:cstheme="majorBidi"/>
                <w:vertAlign w:val="superscript"/>
              </w:rPr>
              <w:t>1</w:t>
            </w:r>
            <w:r w:rsidRPr="00510BF4">
              <w:rPr>
                <w:rFonts w:asciiTheme="majorBidi" w:eastAsia="Times New Roman" w:hAnsiTheme="majorBidi" w:cstheme="majorBidi"/>
              </w:rPr>
              <w:t xml:space="preserve"> (generated by the very cell that OPG itself is generated by) and inhibit RANKL's binding to its intended receptor, RANK, on the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precursor cell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8306"/>
        <w:gridCol w:w="2326"/>
      </w:tblGrid>
      <w:tr w:rsidR="00C579D1" w:rsidRPr="00510BF4" w:rsidTr="00BD7FF7">
        <w:trPr>
          <w:gridAfter w:val="1"/>
          <w:wAfter w:w="1094" w:type="pct"/>
          <w:tblCellSpacing w:w="0" w:type="dxa"/>
        </w:trPr>
        <w:tc>
          <w:tcPr>
            <w:tcW w:w="3906"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3" w:name="P031015"/>
            <w:bookmarkEnd w:id="13"/>
            <w:r w:rsidRPr="00510BF4">
              <w:rPr>
                <w:rFonts w:asciiTheme="majorBidi" w:eastAsia="Times New Roman" w:hAnsiTheme="majorBidi" w:cstheme="majorBidi"/>
              </w:rPr>
              <w:t xml:space="preserve">The ratio of RANKL to OPG is critical in the formation and activity of </w:t>
            </w:r>
            <w:proofErr w:type="spellStart"/>
            <w:r w:rsidRPr="00510BF4">
              <w:rPr>
                <w:rFonts w:asciiTheme="majorBidi" w:eastAsia="Times New Roman" w:hAnsiTheme="majorBidi" w:cstheme="majorBidi"/>
              </w:rPr>
              <w:t>osteoclasts</w:t>
            </w:r>
            <w:proofErr w:type="spellEnd"/>
          </w:p>
        </w:tc>
      </w:tr>
      <w:tr w:rsidR="00C579D1" w:rsidRPr="00510BF4" w:rsidTr="00BD7FF7">
        <w:trPr>
          <w:tblCellSpacing w:w="0" w:type="dxa"/>
        </w:trPr>
        <w:tc>
          <w:tcPr>
            <w:tcW w:w="5000" w:type="pct"/>
            <w:gridSpan w:val="2"/>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4" w:name="HC031005"/>
            <w:bookmarkEnd w:id="14"/>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5" w:name="P031016"/>
            <w:bookmarkEnd w:id="15"/>
            <w:r w:rsidRPr="00510BF4">
              <w:rPr>
                <w:rFonts w:asciiTheme="majorBidi" w:eastAsia="Times New Roman" w:hAnsiTheme="majorBidi" w:cstheme="majorBidi"/>
              </w:rPr>
              <w:t xml:space="preserve">The main bone minerals are calcium and phosphates.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u w:val="single"/>
              </w:rPr>
            </w:pPr>
            <w:bookmarkStart w:id="16" w:name="HC031006"/>
            <w:bookmarkEnd w:id="16"/>
            <w:r w:rsidRPr="00D568A0">
              <w:rPr>
                <w:rFonts w:asciiTheme="majorBidi" w:eastAsia="Times New Roman" w:hAnsiTheme="majorBidi" w:cstheme="majorBidi"/>
                <w:b/>
                <w:bCs/>
                <w:u w:val="single"/>
              </w:rPr>
              <w:t xml:space="preserve">CALCIUM METABOLISM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7" w:name="P031017"/>
            <w:bookmarkEnd w:id="17"/>
            <w:r w:rsidRPr="00510BF4">
              <w:rPr>
                <w:rFonts w:asciiTheme="majorBidi" w:eastAsia="Times New Roman" w:hAnsiTheme="majorBidi" w:cstheme="majorBidi"/>
              </w:rPr>
              <w:t xml:space="preserve">The daily turnover of bone minerals during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involves about 700 mg of calcium. Calcium has numerous roles in physiological functioning. Intracellular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constitutes only a small proportion of body calcium, but it has a major role in cellular </w:t>
            </w:r>
            <w:proofErr w:type="spellStart"/>
            <w:r w:rsidRPr="00510BF4">
              <w:rPr>
                <w:rFonts w:asciiTheme="majorBidi" w:eastAsia="Times New Roman" w:hAnsiTheme="majorBidi" w:cstheme="majorBidi"/>
              </w:rPr>
              <w:t>functionAn</w:t>
            </w:r>
            <w:proofErr w:type="spellEnd"/>
            <w:r w:rsidRPr="00510BF4">
              <w:rPr>
                <w:rFonts w:asciiTheme="majorBidi" w:eastAsia="Times New Roman" w:hAnsiTheme="majorBidi" w:cstheme="majorBidi"/>
              </w:rPr>
              <w:t xml:space="preserve"> influx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with increase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in the </w:t>
            </w:r>
            <w:proofErr w:type="spellStart"/>
            <w:r w:rsidRPr="00510BF4">
              <w:rPr>
                <w:rFonts w:asciiTheme="majorBidi" w:eastAsia="Times New Roman" w:hAnsiTheme="majorBidi" w:cstheme="majorBidi"/>
              </w:rPr>
              <w:t>cytosol</w:t>
            </w:r>
            <w:proofErr w:type="spellEnd"/>
            <w:r w:rsidRPr="00510BF4">
              <w:rPr>
                <w:rFonts w:asciiTheme="majorBidi" w:eastAsia="Times New Roman" w:hAnsiTheme="majorBidi" w:cstheme="majorBidi"/>
              </w:rPr>
              <w:t xml:space="preserve"> is part of the signal transduction mechanism of many cells, so the concentration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in the extracellular fluid and the plasma needs to be controlled with great precision. The concentration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in the cytoplasm of cells is </w:t>
            </w:r>
            <w:proofErr w:type="gramStart"/>
            <w:r w:rsidRPr="00510BF4">
              <w:rPr>
                <w:rFonts w:asciiTheme="majorBidi" w:eastAsia="Times New Roman" w:hAnsiTheme="majorBidi" w:cstheme="majorBidi"/>
              </w:rPr>
              <w:t xml:space="preserve">about 100 </w:t>
            </w:r>
            <w:proofErr w:type="spellStart"/>
            <w:r w:rsidRPr="00510BF4">
              <w:rPr>
                <w:rFonts w:asciiTheme="majorBidi" w:eastAsia="Times New Roman" w:hAnsiTheme="majorBidi" w:cstheme="majorBidi"/>
              </w:rPr>
              <w:t>nmol</w:t>
            </w:r>
            <w:proofErr w:type="spellEnd"/>
            <w:r w:rsidRPr="00510BF4">
              <w:rPr>
                <w:rFonts w:asciiTheme="majorBidi" w:eastAsia="Times New Roman" w:hAnsiTheme="majorBidi" w:cstheme="majorBidi"/>
              </w:rPr>
              <w:t>/l,</w:t>
            </w:r>
            <w:proofErr w:type="gramEnd"/>
            <w:r w:rsidRPr="00510BF4">
              <w:rPr>
                <w:rFonts w:asciiTheme="majorBidi" w:eastAsia="Times New Roman" w:hAnsiTheme="majorBidi" w:cstheme="majorBidi"/>
              </w:rPr>
              <w:t xml:space="preserve"> whereas in the plasma it is about 2.5 </w:t>
            </w:r>
            <w:proofErr w:type="spellStart"/>
            <w:r w:rsidRPr="00510BF4">
              <w:rPr>
                <w:rFonts w:asciiTheme="majorBidi" w:eastAsia="Times New Roman" w:hAnsiTheme="majorBidi" w:cstheme="majorBidi"/>
              </w:rPr>
              <w:t>mmol</w:t>
            </w:r>
            <w:proofErr w:type="spellEnd"/>
            <w:r w:rsidRPr="00510BF4">
              <w:rPr>
                <w:rFonts w:asciiTheme="majorBidi" w:eastAsia="Times New Roman" w:hAnsiTheme="majorBidi" w:cstheme="majorBidi"/>
              </w:rPr>
              <w:t>/l. The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 is regulated by complex interactions between PTH and various forms of vitamin D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also plays a part.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EEEEEE"/>
            <w:vAlign w:val="center"/>
            <w:hideMark/>
          </w:tcPr>
          <w:bookmarkStart w:id="18" w:name="P0464"/>
          <w:bookmarkEnd w:id="18"/>
          <w:p w:rsidR="00C579D1" w:rsidRPr="00510BF4" w:rsidRDefault="00BC63EC"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fldChar w:fldCharType="begin"/>
            </w:r>
            <w:r w:rsidR="00C579D1" w:rsidRPr="00510BF4">
              <w:rPr>
                <w:rFonts w:asciiTheme="majorBidi" w:eastAsia="Times New Roman" w:hAnsiTheme="majorBidi" w:cstheme="majorBidi"/>
              </w:rPr>
              <w:instrText xml:space="preserve"> INCLUDEPICTURE "mk:@MSITStore:H:\\New%20Folder\\Rand%20&amp;%20Dale's%20Pharmacology%20(Churchill%20Livingstone,%202007).CHM::/www.studentconsult.com/images/pixel.gif" \* MERGEFORMATINET </w:instrText>
            </w:r>
            <w:r w:rsidRPr="00510BF4">
              <w:rPr>
                <w:rFonts w:asciiTheme="majorBidi" w:eastAsia="Times New Roman" w:hAnsiTheme="majorBidi" w:cstheme="majorBidi"/>
              </w:rPr>
              <w:fldChar w:fldCharType="separate"/>
            </w:r>
            <w:r w:rsidRPr="00510BF4">
              <w:rPr>
                <w:rFonts w:asciiTheme="majorBidi" w:eastAsia="Times New Roman"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 style="width:.75pt;height:.75pt"/>
              </w:pict>
            </w:r>
            <w:r w:rsidRPr="00510BF4">
              <w:rPr>
                <w:rFonts w:asciiTheme="majorBidi" w:eastAsia="Times New Roman" w:hAnsiTheme="majorBidi" w:cstheme="majorBidi"/>
              </w:rPr>
              <w:fldChar w:fldCharType="end"/>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19" w:name="P031018"/>
            <w:bookmarkEnd w:id="19"/>
            <w:r w:rsidRPr="00510BF4">
              <w:rPr>
                <w:rFonts w:asciiTheme="majorBidi" w:eastAsia="Times New Roman" w:hAnsiTheme="majorBidi" w:cstheme="majorBidi"/>
              </w:rPr>
              <w:t>Calcium absorption in the intestine involves 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-binding protein whose synthesis is regulated by </w:t>
            </w:r>
            <w:hyperlink r:id="rId10"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26"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It is probable that the overall calcium content of the body is regulated largely by this absorption mechanism, because urinary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excretion normally remains more or less constant. However, with high blood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concentrations, urinary excretion increases, and with low blood concentrations urinary excretion can be reduced by PTH and </w:t>
            </w:r>
            <w:hyperlink r:id="rId11"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27"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both of which enhance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reabsorption</w:t>
            </w:r>
            <w:proofErr w:type="spellEnd"/>
            <w:r w:rsidRPr="00510BF4">
              <w:rPr>
                <w:rFonts w:asciiTheme="majorBidi" w:eastAsia="Times New Roman" w:hAnsiTheme="majorBidi" w:cstheme="majorBidi"/>
              </w:rPr>
              <w:t xml:space="preserve"> in the renal tubules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u w:val="single"/>
              </w:rPr>
            </w:pPr>
            <w:bookmarkStart w:id="20" w:name="HC031007"/>
            <w:bookmarkEnd w:id="20"/>
            <w:r w:rsidRPr="00D568A0">
              <w:rPr>
                <w:rFonts w:asciiTheme="majorBidi" w:eastAsia="Times New Roman" w:hAnsiTheme="majorBidi" w:cstheme="majorBidi"/>
                <w:b/>
                <w:bCs/>
                <w:u w:val="single"/>
              </w:rPr>
              <w:t xml:space="preserve">PHOSPHATE METABOLISM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1" w:name="P031019"/>
            <w:bookmarkEnd w:id="21"/>
            <w:r w:rsidRPr="00510BF4">
              <w:rPr>
                <w:rFonts w:asciiTheme="majorBidi" w:eastAsia="Times New Roman" w:hAnsiTheme="majorBidi" w:cstheme="majorBidi"/>
              </w:rPr>
              <w:t xml:space="preserve">Phosphates are important constituents of bone, and are also critically important in the structure and function of all the cells of the body. They play a significant part in </w:t>
            </w:r>
            <w:proofErr w:type="spellStart"/>
            <w:r w:rsidRPr="00510BF4">
              <w:rPr>
                <w:rFonts w:asciiTheme="majorBidi" w:eastAsia="Times New Roman" w:hAnsiTheme="majorBidi" w:cstheme="majorBidi"/>
              </w:rPr>
              <w:t>enzymic</w:t>
            </w:r>
            <w:proofErr w:type="spellEnd"/>
            <w:r w:rsidRPr="00510BF4">
              <w:rPr>
                <w:rFonts w:asciiTheme="majorBidi" w:eastAsia="Times New Roman" w:hAnsiTheme="majorBidi" w:cstheme="majorBidi"/>
              </w:rPr>
              <w:t xml:space="preserve"> reactions in the cell; they have roles as intracellular buffers and in the excretion of hydrogen ions in the kidney.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2" w:name="P031020"/>
            <w:bookmarkEnd w:id="22"/>
            <w:r w:rsidRPr="00510BF4">
              <w:rPr>
                <w:rFonts w:asciiTheme="majorBidi" w:eastAsia="Times New Roman" w:hAnsiTheme="majorBidi" w:cstheme="majorBidi"/>
              </w:rPr>
              <w:t xml:space="preserve">Phosphate absorption is an energy-requiring process regulated by </w:t>
            </w:r>
            <w:hyperlink r:id="rId12"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28"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Phosphate deposition in bone, as </w:t>
            </w:r>
            <w:proofErr w:type="spellStart"/>
            <w:r w:rsidRPr="00510BF4">
              <w:rPr>
                <w:rFonts w:asciiTheme="majorBidi" w:eastAsia="Times New Roman" w:hAnsiTheme="majorBidi" w:cstheme="majorBidi"/>
              </w:rPr>
              <w:t>hydroxyapatite</w:t>
            </w:r>
            <w:proofErr w:type="spellEnd"/>
            <w:r w:rsidRPr="00510BF4">
              <w:rPr>
                <w:rFonts w:asciiTheme="majorBidi" w:eastAsia="Times New Roman" w:hAnsiTheme="majorBidi" w:cstheme="majorBidi"/>
              </w:rPr>
              <w:t xml:space="preserve">, depends on the plasma concentration of PTH, which, with </w:t>
            </w:r>
            <w:hyperlink r:id="rId13"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29"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tends to </w:t>
            </w:r>
            <w:proofErr w:type="spellStart"/>
            <w:r w:rsidRPr="00510BF4">
              <w:rPr>
                <w:rFonts w:asciiTheme="majorBidi" w:eastAsia="Times New Roman" w:hAnsiTheme="majorBidi" w:cstheme="majorBidi"/>
              </w:rPr>
              <w:t>mobilise</w:t>
            </w:r>
            <w:proofErr w:type="spellEnd"/>
            <w:r w:rsidRPr="00510BF4">
              <w:rPr>
                <w:rFonts w:asciiTheme="majorBidi" w:eastAsia="Times New Roman" w:hAnsiTheme="majorBidi" w:cstheme="majorBidi"/>
              </w:rPr>
              <w:t xml:space="preserve"> both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and phosphate from the bone matrix. Phosphate is excreted by the kidney; here PTH inhibits </w:t>
            </w:r>
            <w:proofErr w:type="spellStart"/>
            <w:r w:rsidRPr="00510BF4">
              <w:rPr>
                <w:rFonts w:asciiTheme="majorBidi" w:eastAsia="Times New Roman" w:hAnsiTheme="majorBidi" w:cstheme="majorBidi"/>
              </w:rPr>
              <w:t>reabsorption</w:t>
            </w:r>
            <w:proofErr w:type="spellEnd"/>
            <w:r w:rsidRPr="00510BF4">
              <w:rPr>
                <w:rFonts w:asciiTheme="majorBidi" w:eastAsia="Times New Roman" w:hAnsiTheme="majorBidi" w:cstheme="majorBidi"/>
              </w:rPr>
              <w:t xml:space="preserve"> and thus increases excretion.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u w:val="single"/>
              </w:rPr>
            </w:pPr>
            <w:bookmarkStart w:id="23" w:name="HC031008"/>
            <w:bookmarkEnd w:id="23"/>
            <w:r w:rsidRPr="00D568A0">
              <w:rPr>
                <w:rFonts w:asciiTheme="majorBidi" w:eastAsia="Times New Roman" w:hAnsiTheme="majorBidi" w:cstheme="majorBidi"/>
                <w:b/>
                <w:bCs/>
                <w:u w:val="single"/>
              </w:rPr>
              <w:t xml:space="preserve">HORMONES INVOLVED IN BONE METABOLISM AND REMODELLING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851" w:type="dxa"/>
        <w:tblCellMar>
          <w:left w:w="0" w:type="dxa"/>
          <w:right w:w="0" w:type="dxa"/>
        </w:tblCellMar>
        <w:tblLook w:val="04A0"/>
      </w:tblPr>
      <w:tblGrid>
        <w:gridCol w:w="8306"/>
        <w:gridCol w:w="2184"/>
      </w:tblGrid>
      <w:tr w:rsidR="00C579D1" w:rsidRPr="00510BF4" w:rsidTr="00BD7FF7">
        <w:trPr>
          <w:gridAfter w:val="1"/>
          <w:wAfter w:w="1041" w:type="pct"/>
          <w:tblCellSpacing w:w="0" w:type="dxa"/>
        </w:trPr>
        <w:tc>
          <w:tcPr>
            <w:tcW w:w="3959"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4" w:name="P031021"/>
            <w:bookmarkEnd w:id="24"/>
            <w:r w:rsidRPr="00510BF4">
              <w:rPr>
                <w:rFonts w:asciiTheme="majorBidi" w:eastAsia="Times New Roman" w:hAnsiTheme="majorBidi" w:cstheme="majorBidi"/>
              </w:rPr>
              <w:t xml:space="preserve">The main hormones involved in bone metabolism and </w:t>
            </w:r>
            <w:proofErr w:type="spellStart"/>
            <w:r w:rsidRPr="00510BF4">
              <w:rPr>
                <w:rFonts w:asciiTheme="majorBidi" w:eastAsia="Times New Roman" w:hAnsiTheme="majorBidi" w:cstheme="majorBidi"/>
              </w:rPr>
              <w:t>remodelling</w:t>
            </w:r>
            <w:proofErr w:type="spellEnd"/>
            <w:r w:rsidRPr="00510BF4">
              <w:rPr>
                <w:rFonts w:asciiTheme="majorBidi" w:eastAsia="Times New Roman" w:hAnsiTheme="majorBidi" w:cstheme="majorBidi"/>
              </w:rPr>
              <w:t xml:space="preserve"> are PTH, members of the vitamin D family, </w:t>
            </w:r>
            <w:proofErr w:type="spellStart"/>
            <w:r w:rsidRPr="00510BF4">
              <w:rPr>
                <w:rFonts w:asciiTheme="majorBidi" w:eastAsia="Times New Roman" w:hAnsiTheme="majorBidi" w:cstheme="majorBidi"/>
              </w:rPr>
              <w:t>oestrogens</w:t>
            </w:r>
            <w:proofErr w:type="spellEnd"/>
            <w:r w:rsidRPr="00510BF4">
              <w:rPr>
                <w:rFonts w:asciiTheme="majorBidi" w:eastAsia="Times New Roman" w:hAnsiTheme="majorBidi" w:cstheme="majorBidi"/>
              </w:rPr>
              <w:t xml:space="preserve"> and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Glucocorticoids</w:t>
            </w:r>
            <w:proofErr w:type="spellEnd"/>
            <w:r w:rsidRPr="00510BF4">
              <w:rPr>
                <w:rFonts w:asciiTheme="majorBidi" w:eastAsia="Times New Roman" w:hAnsiTheme="majorBidi" w:cstheme="majorBidi"/>
              </w:rPr>
              <w:t xml:space="preserve"> and thyroid</w:t>
            </w:r>
            <w:r w:rsidR="00BD7FF7" w:rsidRPr="00510BF4">
              <w:rPr>
                <w:rFonts w:asciiTheme="majorBidi" w:eastAsia="Times New Roman" w:hAnsiTheme="majorBidi" w:cstheme="majorBidi"/>
              </w:rPr>
              <w:t xml:space="preserve">  </w:t>
            </w:r>
            <w:r w:rsidRPr="00510BF4">
              <w:rPr>
                <w:rFonts w:asciiTheme="majorBidi" w:eastAsia="Times New Roman" w:hAnsiTheme="majorBidi" w:cstheme="majorBidi"/>
              </w:rPr>
              <w:t>hormone</w:t>
            </w:r>
            <w:r w:rsidR="00BD7FF7" w:rsidRPr="00510BF4">
              <w:rPr>
                <w:rFonts w:asciiTheme="majorBidi" w:eastAsia="Times New Roman" w:hAnsiTheme="majorBidi" w:cstheme="majorBidi"/>
              </w:rPr>
              <w:t xml:space="preserve"> </w:t>
            </w:r>
            <w:r w:rsidRPr="00510BF4">
              <w:rPr>
                <w:rFonts w:asciiTheme="majorBidi" w:eastAsia="Times New Roman" w:hAnsiTheme="majorBidi" w:cstheme="majorBidi"/>
              </w:rPr>
              <w:t>also affect bone</w:t>
            </w:r>
          </w:p>
          <w:p w:rsidR="00970623" w:rsidRPr="00510BF4" w:rsidRDefault="00970623" w:rsidP="00510BF4">
            <w:pPr>
              <w:bidi w:val="0"/>
              <w:spacing w:after="0" w:line="240" w:lineRule="auto"/>
              <w:jc w:val="both"/>
              <w:rPr>
                <w:rFonts w:asciiTheme="majorBidi" w:eastAsia="Times New Roman" w:hAnsiTheme="majorBidi" w:cstheme="majorBidi"/>
              </w:rPr>
            </w:pPr>
          </w:p>
        </w:tc>
      </w:tr>
      <w:tr w:rsidR="00C579D1" w:rsidRPr="00510BF4" w:rsidTr="00BD7FF7">
        <w:trPr>
          <w:tblCellSpacing w:w="0" w:type="dxa"/>
        </w:trPr>
        <w:tc>
          <w:tcPr>
            <w:tcW w:w="5000" w:type="pct"/>
            <w:gridSpan w:val="2"/>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25" w:name="HC031009"/>
            <w:bookmarkEnd w:id="25"/>
            <w:r w:rsidRPr="00D568A0">
              <w:rPr>
                <w:rFonts w:asciiTheme="majorBidi" w:eastAsia="Times New Roman" w:hAnsiTheme="majorBidi" w:cstheme="majorBidi"/>
                <w:b/>
                <w:bCs/>
              </w:rPr>
              <w:t xml:space="preserve">PARATHYROID HORMONE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6" w:name="P031022"/>
            <w:bookmarkEnd w:id="26"/>
            <w:r w:rsidRPr="00510BF4">
              <w:rPr>
                <w:rFonts w:asciiTheme="majorBidi" w:eastAsia="Times New Roman" w:hAnsiTheme="majorBidi" w:cstheme="majorBidi"/>
              </w:rPr>
              <w:t xml:space="preserve">Parathyroid hormone, which consists of a single-chain polypeptide of 84 </w:t>
            </w:r>
            <w:hyperlink r:id="rId14" w:tooltip="View drug information" w:history="1">
              <w:r w:rsidRPr="00510BF4">
                <w:rPr>
                  <w:rFonts w:asciiTheme="majorBidi" w:eastAsia="Times New Roman" w:hAnsiTheme="majorBidi" w:cstheme="majorBidi"/>
                  <w:u w:val="single"/>
                </w:rPr>
                <w:t>amino acids</w:t>
              </w:r>
              <w:r w:rsidR="00BC63EC" w:rsidRPr="00510BF4">
                <w:rPr>
                  <w:rFonts w:asciiTheme="majorBidi" w:eastAsia="Times New Roman" w:hAnsiTheme="majorBidi" w:cstheme="majorBidi"/>
                </w:rPr>
                <w:pict>
                  <v:shape id="_x0000_i1030"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is an important physiological regulator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metabolism. It maintains the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 by </w:t>
            </w:r>
            <w:proofErr w:type="spellStart"/>
            <w:r w:rsidRPr="00510BF4">
              <w:rPr>
                <w:rFonts w:asciiTheme="majorBidi" w:eastAsia="Times New Roman" w:hAnsiTheme="majorBidi" w:cstheme="majorBidi"/>
              </w:rPr>
              <w:t>mobilising</w:t>
            </w:r>
            <w:proofErr w:type="spellEnd"/>
            <w:r w:rsidRPr="00510BF4">
              <w:rPr>
                <w:rFonts w:asciiTheme="majorBidi" w:eastAsia="Times New Roman" w:hAnsiTheme="majorBidi" w:cstheme="majorBidi"/>
              </w:rPr>
              <w:t xml:space="preserve">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from bone, by promoting its </w:t>
            </w:r>
            <w:proofErr w:type="spellStart"/>
            <w:r w:rsidRPr="00510BF4">
              <w:rPr>
                <w:rFonts w:asciiTheme="majorBidi" w:eastAsia="Times New Roman" w:hAnsiTheme="majorBidi" w:cstheme="majorBidi"/>
              </w:rPr>
              <w:t>reabsorption</w:t>
            </w:r>
            <w:proofErr w:type="spellEnd"/>
            <w:r w:rsidRPr="00510BF4">
              <w:rPr>
                <w:rFonts w:asciiTheme="majorBidi" w:eastAsia="Times New Roman" w:hAnsiTheme="majorBidi" w:cstheme="majorBidi"/>
              </w:rPr>
              <w:t xml:space="preserve"> by the kidney, and in particular by stimulating the synthesis of </w:t>
            </w:r>
            <w:hyperlink r:id="rId15"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1"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which in turn increases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absorption from the intestine and </w:t>
            </w:r>
            <w:proofErr w:type="spellStart"/>
            <w:r w:rsidRPr="00510BF4">
              <w:rPr>
                <w:rFonts w:asciiTheme="majorBidi" w:eastAsia="Times New Roman" w:hAnsiTheme="majorBidi" w:cstheme="majorBidi"/>
              </w:rPr>
              <w:t>synergises</w:t>
            </w:r>
            <w:proofErr w:type="spellEnd"/>
            <w:r w:rsidRPr="00510BF4">
              <w:rPr>
                <w:rFonts w:asciiTheme="majorBidi" w:eastAsia="Times New Roman" w:hAnsiTheme="majorBidi" w:cstheme="majorBidi"/>
              </w:rPr>
              <w:t xml:space="preserve"> with PTH in </w:t>
            </w:r>
            <w:proofErr w:type="spellStart"/>
            <w:r w:rsidRPr="00510BF4">
              <w:rPr>
                <w:rFonts w:asciiTheme="majorBidi" w:eastAsia="Times New Roman" w:hAnsiTheme="majorBidi" w:cstheme="majorBidi"/>
              </w:rPr>
              <w:t>mobilising</w:t>
            </w:r>
            <w:proofErr w:type="spellEnd"/>
            <w:r w:rsidRPr="00510BF4">
              <w:rPr>
                <w:rFonts w:asciiTheme="majorBidi" w:eastAsia="Times New Roman" w:hAnsiTheme="majorBidi" w:cstheme="majorBidi"/>
              </w:rPr>
              <w:t xml:space="preserve"> bone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PTH promotes phosphate excretion, and thus its net effect is to increase the concentration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in the plasma and lower that of phosphate.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7" w:name="P031024"/>
            <w:bookmarkEnd w:id="27"/>
            <w:r w:rsidRPr="00510BF4">
              <w:rPr>
                <w:rFonts w:asciiTheme="majorBidi" w:eastAsia="Times New Roman" w:hAnsiTheme="majorBidi" w:cstheme="majorBidi"/>
              </w:rPr>
              <w:t xml:space="preserve">The </w:t>
            </w:r>
            <w:proofErr w:type="spellStart"/>
            <w:r w:rsidRPr="00510BF4">
              <w:rPr>
                <w:rFonts w:asciiTheme="majorBidi" w:eastAsia="Times New Roman" w:hAnsiTheme="majorBidi" w:cstheme="majorBidi"/>
              </w:rPr>
              <w:t>mobilisation</w:t>
            </w:r>
            <w:proofErr w:type="spellEnd"/>
            <w:r w:rsidRPr="00510BF4">
              <w:rPr>
                <w:rFonts w:asciiTheme="majorBidi" w:eastAsia="Times New Roman" w:hAnsiTheme="majorBidi" w:cstheme="majorBidi"/>
              </w:rPr>
              <w:t xml:space="preserve">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from bone by PTH is mediated, at least in part, by stimulation of the recruitment and activation of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Pathological </w:t>
            </w:r>
            <w:proofErr w:type="spellStart"/>
            <w:r w:rsidRPr="00510BF4">
              <w:rPr>
                <w:rFonts w:asciiTheme="majorBidi" w:eastAsia="Times New Roman" w:hAnsiTheme="majorBidi" w:cstheme="majorBidi"/>
              </w:rPr>
              <w:t>oversecretion</w:t>
            </w:r>
            <w:proofErr w:type="spellEnd"/>
            <w:r w:rsidRPr="00510BF4">
              <w:rPr>
                <w:rFonts w:asciiTheme="majorBidi" w:eastAsia="Times New Roman" w:hAnsiTheme="majorBidi" w:cstheme="majorBidi"/>
              </w:rPr>
              <w:t xml:space="preserve"> of PTH (hyperparathyroidism) inhibits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activityBut</w:t>
            </w:r>
            <w:proofErr w:type="spellEnd"/>
            <w:r w:rsidRPr="00510BF4">
              <w:rPr>
                <w:rFonts w:asciiTheme="majorBidi" w:eastAsia="Times New Roman" w:hAnsiTheme="majorBidi" w:cstheme="majorBidi"/>
              </w:rPr>
              <w:t xml:space="preserve"> given therapeutically in a low intermittent dose, PTH and fragments of PTH paradoxically stimulate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activity and enhance bone formation (see below).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059" w:type="pct"/>
        <w:tblCellSpacing w:w="0" w:type="dxa"/>
        <w:tblInd w:w="-993" w:type="dxa"/>
        <w:tblCellMar>
          <w:left w:w="0" w:type="dxa"/>
          <w:right w:w="0" w:type="dxa"/>
        </w:tblCellMar>
        <w:tblLook w:val="04A0"/>
      </w:tblPr>
      <w:tblGrid>
        <w:gridCol w:w="10065"/>
      </w:tblGrid>
      <w:tr w:rsidR="00C579D1" w:rsidRPr="00510BF4" w:rsidTr="00C44B01">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28" w:name="P031025"/>
            <w:bookmarkEnd w:id="28"/>
            <w:r w:rsidRPr="00510BF4">
              <w:rPr>
                <w:rFonts w:asciiTheme="majorBidi" w:eastAsia="Times New Roman" w:hAnsiTheme="majorBidi" w:cstheme="majorBidi"/>
              </w:rPr>
              <w:t xml:space="preserve">Parathyroid hormone is </w:t>
            </w:r>
            <w:proofErr w:type="spellStart"/>
            <w:r w:rsidRPr="00510BF4">
              <w:rPr>
                <w:rFonts w:asciiTheme="majorBidi" w:eastAsia="Times New Roman" w:hAnsiTheme="majorBidi" w:cstheme="majorBidi"/>
              </w:rPr>
              <w:t>synthesised</w:t>
            </w:r>
            <w:proofErr w:type="spellEnd"/>
            <w:r w:rsidRPr="00510BF4">
              <w:rPr>
                <w:rFonts w:asciiTheme="majorBidi" w:eastAsia="Times New Roman" w:hAnsiTheme="majorBidi" w:cstheme="majorBidi"/>
              </w:rPr>
              <w:t xml:space="preserve"> in the cells of the parathyroid glands and stored in vesicles. The principal factor controlling secretion is the concentration of </w:t>
            </w:r>
            <w:proofErr w:type="spellStart"/>
            <w:r w:rsidRPr="00510BF4">
              <w:rPr>
                <w:rFonts w:asciiTheme="majorBidi" w:eastAsia="Times New Roman" w:hAnsiTheme="majorBidi" w:cstheme="majorBidi"/>
              </w:rPr>
              <w:t>ionised</w:t>
            </w:r>
            <w:proofErr w:type="spellEnd"/>
            <w:r w:rsidRPr="00510BF4">
              <w:rPr>
                <w:rFonts w:asciiTheme="majorBidi" w:eastAsia="Times New Roman" w:hAnsiTheme="majorBidi" w:cstheme="majorBidi"/>
              </w:rPr>
              <w:t xml:space="preserve"> calcium in the plasma, low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stimulating secretion, high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decreasing it by binding to and activating 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-sensing G-protein-coupled surface receptor </w:t>
            </w:r>
            <w:r w:rsidR="00970623" w:rsidRPr="00510BF4">
              <w:rPr>
                <w:rFonts w:asciiTheme="majorBidi" w:eastAsia="Times New Roman" w:hAnsiTheme="majorBidi" w:cstheme="majorBidi"/>
                <w:noProof/>
              </w:rPr>
              <w:drawing>
                <wp:inline distT="0" distB="0" distL="0" distR="0">
                  <wp:extent cx="4248150" cy="1885950"/>
                  <wp:effectExtent l="19050" t="0" r="0" b="0"/>
                  <wp:docPr id="3"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4248150" cy="1885950"/>
                          </a:xfrm>
                          <a:prstGeom prst="rect">
                            <a:avLst/>
                          </a:prstGeom>
                          <a:noFill/>
                          <a:ln w="9525">
                            <a:noFill/>
                            <a:miter lim="800000"/>
                            <a:headEnd/>
                            <a:tailEnd/>
                          </a:ln>
                        </pic:spPr>
                      </pic:pic>
                    </a:graphicData>
                  </a:graphic>
                </wp:inline>
              </w:drawing>
            </w:r>
          </w:p>
          <w:p w:rsidR="00970623" w:rsidRPr="00510BF4" w:rsidRDefault="00970623" w:rsidP="00510BF4">
            <w:pPr>
              <w:bidi w:val="0"/>
              <w:spacing w:after="0" w:line="240" w:lineRule="auto"/>
              <w:jc w:val="both"/>
              <w:rPr>
                <w:rFonts w:asciiTheme="majorBidi" w:eastAsia="Times New Roman" w:hAnsiTheme="majorBidi" w:cstheme="majorBidi"/>
              </w:rPr>
            </w:pPr>
          </w:p>
          <w:p w:rsidR="00970623" w:rsidRPr="00510BF4" w:rsidRDefault="00970623" w:rsidP="00510BF4">
            <w:pPr>
              <w:bidi w:val="0"/>
              <w:spacing w:after="0" w:line="240" w:lineRule="auto"/>
              <w:jc w:val="both"/>
              <w:rPr>
                <w:rFonts w:asciiTheme="majorBidi" w:eastAsia="Times New Roman" w:hAnsiTheme="majorBidi" w:cstheme="majorBidi"/>
              </w:rPr>
            </w:pP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29" w:name="HC031010"/>
            <w:bookmarkEnd w:id="29"/>
            <w:r w:rsidRPr="00D568A0">
              <w:rPr>
                <w:rFonts w:asciiTheme="majorBidi" w:eastAsia="Times New Roman" w:hAnsiTheme="majorBidi" w:cstheme="majorBidi"/>
                <w:b/>
                <w:bCs/>
              </w:rPr>
              <w:t xml:space="preserve">VITAMIN D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0" w:name="P031026"/>
            <w:bookmarkEnd w:id="30"/>
            <w:r w:rsidRPr="00510BF4">
              <w:rPr>
                <w:rFonts w:asciiTheme="majorBidi" w:eastAsia="Times New Roman" w:hAnsiTheme="majorBidi" w:cstheme="majorBidi"/>
              </w:rPr>
              <w:t xml:space="preserve">Vitamin D is a </w:t>
            </w:r>
            <w:proofErr w:type="spellStart"/>
            <w:r w:rsidRPr="00510BF4">
              <w:rPr>
                <w:rFonts w:asciiTheme="majorBidi" w:eastAsia="Times New Roman" w:hAnsiTheme="majorBidi" w:cstheme="majorBidi"/>
              </w:rPr>
              <w:t>prehormone</w:t>
            </w:r>
            <w:proofErr w:type="spellEnd"/>
            <w:r w:rsidRPr="00510BF4">
              <w:rPr>
                <w:rFonts w:asciiTheme="majorBidi" w:eastAsia="Times New Roman" w:hAnsiTheme="majorBidi" w:cstheme="majorBidi"/>
              </w:rPr>
              <w:t xml:space="preserve"> that is converted in the body into a number of biologically active metabolites that function as true hormones, circulating in the blood and regulating the activities of various cell types Their main action is the maintenance of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by increasing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absorption in the intestine, </w:t>
            </w:r>
            <w:proofErr w:type="spellStart"/>
            <w:r w:rsidRPr="00510BF4">
              <w:rPr>
                <w:rFonts w:asciiTheme="majorBidi" w:eastAsia="Times New Roman" w:hAnsiTheme="majorBidi" w:cstheme="majorBidi"/>
              </w:rPr>
              <w:t>mobilising</w:t>
            </w:r>
            <w:proofErr w:type="spellEnd"/>
            <w:r w:rsidRPr="00510BF4">
              <w:rPr>
                <w:rFonts w:asciiTheme="majorBidi" w:eastAsia="Times New Roman" w:hAnsiTheme="majorBidi" w:cstheme="majorBidi"/>
              </w:rPr>
              <w:t xml:space="preserve">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from bone and decreasing its renal excretion Vitamin D itself is really a family of hormones belonging to the </w:t>
            </w:r>
            <w:proofErr w:type="spellStart"/>
            <w:r w:rsidRPr="00510BF4">
              <w:rPr>
                <w:rFonts w:asciiTheme="majorBidi" w:eastAsia="Times New Roman" w:hAnsiTheme="majorBidi" w:cstheme="majorBidi"/>
              </w:rPr>
              <w:t>superfamily</w:t>
            </w:r>
            <w:proofErr w:type="spellEnd"/>
            <w:r w:rsidRPr="00510BF4">
              <w:rPr>
                <w:rFonts w:asciiTheme="majorBidi" w:eastAsia="Times New Roman" w:hAnsiTheme="majorBidi" w:cstheme="majorBidi"/>
              </w:rPr>
              <w:t xml:space="preserve"> of steroid hormone receptors. In humans, there are two sources of vitamin D: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numPr>
                <w:ilvl w:val="0"/>
                <w:numId w:val="3"/>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dietary </w:t>
            </w:r>
            <w:hyperlink r:id="rId17" w:tooltip="View drug information" w:history="1">
              <w:proofErr w:type="spellStart"/>
              <w:r w:rsidRPr="00510BF4">
                <w:rPr>
                  <w:rFonts w:asciiTheme="majorBidi" w:eastAsia="Times New Roman" w:hAnsiTheme="majorBidi" w:cstheme="majorBidi"/>
                  <w:u w:val="single"/>
                </w:rPr>
                <w:t>ergocalciferol</w:t>
              </w:r>
              <w:proofErr w:type="spellEnd"/>
              <w:r w:rsidR="00BC63EC" w:rsidRPr="00510BF4">
                <w:rPr>
                  <w:rFonts w:asciiTheme="majorBidi" w:eastAsia="Times New Roman" w:hAnsiTheme="majorBidi" w:cstheme="majorBidi"/>
                </w:rPr>
                <w:pict>
                  <v:shape id="_x0000_i1032"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(D</w:t>
            </w:r>
            <w:r w:rsidRPr="00510BF4">
              <w:rPr>
                <w:rFonts w:asciiTheme="majorBidi" w:eastAsia="Times New Roman" w:hAnsiTheme="majorBidi" w:cstheme="majorBidi"/>
                <w:vertAlign w:val="subscript"/>
              </w:rPr>
              <w:t>2</w:t>
            </w:r>
            <w:r w:rsidRPr="00510BF4">
              <w:rPr>
                <w:rFonts w:asciiTheme="majorBidi" w:eastAsia="Times New Roman" w:hAnsiTheme="majorBidi" w:cstheme="majorBidi"/>
              </w:rPr>
              <w:t xml:space="preserve">), derived from </w:t>
            </w:r>
            <w:proofErr w:type="spellStart"/>
            <w:r w:rsidRPr="00510BF4">
              <w:rPr>
                <w:rFonts w:asciiTheme="majorBidi" w:eastAsia="Times New Roman" w:hAnsiTheme="majorBidi" w:cstheme="majorBidi"/>
              </w:rPr>
              <w:t>ergosterol</w:t>
            </w:r>
            <w:proofErr w:type="spellEnd"/>
            <w:r w:rsidRPr="00510BF4">
              <w:rPr>
                <w:rFonts w:asciiTheme="majorBidi" w:eastAsia="Times New Roman" w:hAnsiTheme="majorBidi" w:cstheme="majorBidi"/>
              </w:rPr>
              <w:t xml:space="preserve"> in plants </w:t>
            </w:r>
          </w:p>
          <w:p w:rsidR="00C579D1" w:rsidRPr="00510BF4" w:rsidRDefault="00C579D1" w:rsidP="00510BF4">
            <w:pPr>
              <w:numPr>
                <w:ilvl w:val="0"/>
                <w:numId w:val="3"/>
              </w:numPr>
              <w:bidi w:val="0"/>
              <w:spacing w:before="100" w:beforeAutospacing="1" w:after="100" w:afterAutospacing="1" w:line="240" w:lineRule="auto"/>
              <w:jc w:val="both"/>
              <w:rPr>
                <w:rFonts w:asciiTheme="majorBidi" w:eastAsia="Times New Roman" w:hAnsiTheme="majorBidi" w:cstheme="majorBidi"/>
              </w:rPr>
            </w:pPr>
            <w:proofErr w:type="spellStart"/>
            <w:proofErr w:type="gramStart"/>
            <w:r w:rsidRPr="00510BF4">
              <w:rPr>
                <w:rFonts w:asciiTheme="majorBidi" w:eastAsia="Times New Roman" w:hAnsiTheme="majorBidi" w:cstheme="majorBidi"/>
              </w:rPr>
              <w:t>cholecalciferol</w:t>
            </w:r>
            <w:proofErr w:type="spellEnd"/>
            <w:proofErr w:type="gramEnd"/>
            <w:r w:rsidRPr="00510BF4">
              <w:rPr>
                <w:rFonts w:asciiTheme="majorBidi" w:eastAsia="Times New Roman" w:hAnsiTheme="majorBidi" w:cstheme="majorBidi"/>
              </w:rPr>
              <w:t xml:space="preserve"> (D</w:t>
            </w:r>
            <w:r w:rsidRPr="00510BF4">
              <w:rPr>
                <w:rFonts w:asciiTheme="majorBidi" w:eastAsia="Times New Roman" w:hAnsiTheme="majorBidi" w:cstheme="majorBidi"/>
                <w:vertAlign w:val="subscript"/>
              </w:rPr>
              <w:t>3</w:t>
            </w:r>
            <w:r w:rsidRPr="00510BF4">
              <w:rPr>
                <w:rFonts w:asciiTheme="majorBidi" w:eastAsia="Times New Roman" w:hAnsiTheme="majorBidi" w:cstheme="majorBidi"/>
              </w:rPr>
              <w:t xml:space="preserve">) generated in the skin from 7-dehydrocholesterol by the action of ultraviolet irradiation, the 7-dehydrocholesterol having been formed from cholesterol in the wall of the intestine.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1" w:name="P031027"/>
            <w:bookmarkEnd w:id="31"/>
            <w:proofErr w:type="spellStart"/>
            <w:r w:rsidRPr="00510BF4">
              <w:rPr>
                <w:rFonts w:asciiTheme="majorBidi" w:eastAsia="Times New Roman" w:hAnsiTheme="majorBidi" w:cstheme="majorBidi"/>
              </w:rPr>
              <w:t>Cholecalciferol</w:t>
            </w:r>
            <w:proofErr w:type="spellEnd"/>
            <w:r w:rsidRPr="00510BF4">
              <w:rPr>
                <w:rFonts w:asciiTheme="majorBidi" w:eastAsia="Times New Roman" w:hAnsiTheme="majorBidi" w:cstheme="majorBidi"/>
              </w:rPr>
              <w:t xml:space="preserve"> (vitamin D</w:t>
            </w:r>
            <w:r w:rsidRPr="00510BF4">
              <w:rPr>
                <w:rFonts w:asciiTheme="majorBidi" w:eastAsia="Times New Roman" w:hAnsiTheme="majorBidi" w:cstheme="majorBidi"/>
                <w:vertAlign w:val="subscript"/>
              </w:rPr>
              <w:t>3</w:t>
            </w:r>
            <w:r w:rsidRPr="00510BF4">
              <w:rPr>
                <w:rFonts w:asciiTheme="majorBidi" w:eastAsia="Times New Roman" w:hAnsiTheme="majorBidi" w:cstheme="majorBidi"/>
              </w:rPr>
              <w:t>) is converted to 25-hydroxy-vitamin D</w:t>
            </w:r>
            <w:r w:rsidRPr="00510BF4">
              <w:rPr>
                <w:rFonts w:asciiTheme="majorBidi" w:eastAsia="Times New Roman" w:hAnsiTheme="majorBidi" w:cstheme="majorBidi"/>
                <w:vertAlign w:val="subscript"/>
              </w:rPr>
              <w:t>3</w:t>
            </w:r>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calcifediol</w:t>
            </w:r>
            <w:proofErr w:type="spellEnd"/>
            <w:r w:rsidRPr="00510BF4">
              <w:rPr>
                <w:rFonts w:asciiTheme="majorBidi" w:eastAsia="Times New Roman" w:hAnsiTheme="majorBidi" w:cstheme="majorBidi"/>
              </w:rPr>
              <w:t>) in the liver, and this is converted to a series of other metabolites of varying activity in the kidney, the most potent of which is 1,25-dihydroxy-vitamin D</w:t>
            </w:r>
            <w:r w:rsidRPr="00510BF4">
              <w:rPr>
                <w:rFonts w:asciiTheme="majorBidi" w:eastAsia="Times New Roman" w:hAnsiTheme="majorBidi" w:cstheme="majorBidi"/>
                <w:vertAlign w:val="subscript"/>
              </w:rPr>
              <w:t>3</w:t>
            </w:r>
            <w:r w:rsidRPr="00510BF4">
              <w:rPr>
                <w:rFonts w:asciiTheme="majorBidi" w:eastAsia="Times New Roman" w:hAnsiTheme="majorBidi" w:cstheme="majorBidi"/>
              </w:rPr>
              <w:t xml:space="preserve"> (</w:t>
            </w:r>
            <w:proofErr w:type="spellStart"/>
            <w:r w:rsidR="00BC63EC" w:rsidRPr="00510BF4">
              <w:rPr>
                <w:rFonts w:asciiTheme="majorBidi" w:hAnsiTheme="majorBidi" w:cstheme="majorBidi"/>
              </w:rPr>
              <w:fldChar w:fldCharType="begin"/>
            </w:r>
            <w:r w:rsidR="00A600AB" w:rsidRPr="00510BF4">
              <w:rPr>
                <w:rFonts w:asciiTheme="majorBidi" w:hAnsiTheme="majorBidi" w:cstheme="majorBidi"/>
              </w:rPr>
              <w:instrText>HYPERLINK "mk:@MSITStore:H:\\New%20Folder\\Rand%20&amp;%20Dale's%20Pharmacology%20(Churchill%20Livingstone,%202007).CHM::/www.studentconsult.com/content/bookcontent.cfm@id=hc031003.htm" \o "View drug information"</w:instrText>
            </w:r>
            <w:r w:rsidR="00BC63EC" w:rsidRPr="00510BF4">
              <w:rPr>
                <w:rFonts w:asciiTheme="majorBidi" w:hAnsiTheme="majorBidi" w:cstheme="majorBidi"/>
              </w:rPr>
              <w:fldChar w:fldCharType="separate"/>
            </w:r>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3" type="#_x0000_t75" alt="View drug information" href="mk:@MSITStore:H:\New%20Folder\Rand%20&amp;%20Dale's%20Pharmacology%20(Churchill%20Livingstone,%202007).CHM::/www.studentconsult.com/content/bookcontent.cfm@id=hc031003.htm" title="&quot;View drug information&quot;" style="width:6.75pt;height:9pt" o:button="t"/>
              </w:pict>
            </w:r>
            <w:r w:rsidR="00BC63EC" w:rsidRPr="00510BF4">
              <w:rPr>
                <w:rFonts w:asciiTheme="majorBidi" w:hAnsiTheme="majorBidi" w:cstheme="majorBidi"/>
              </w:rPr>
              <w:fldChar w:fldCharType="end"/>
            </w:r>
            <w:r w:rsidRPr="00510BF4">
              <w:rPr>
                <w:rFonts w:asciiTheme="majorBidi" w:eastAsia="Times New Roman" w:hAnsiTheme="majorBidi" w:cstheme="majorBidi"/>
              </w:rPr>
              <w:t>)</w:t>
            </w:r>
          </w:p>
        </w:tc>
      </w:tr>
    </w:tbl>
    <w:p w:rsidR="00C579D1" w:rsidRPr="00510BF4" w:rsidRDefault="00C579D1" w:rsidP="00510BF4">
      <w:pPr>
        <w:bidi w:val="0"/>
        <w:spacing w:line="240" w:lineRule="auto"/>
        <w:jc w:val="both"/>
        <w:rPr>
          <w:rFonts w:asciiTheme="majorBidi" w:hAnsiTheme="majorBidi" w:cstheme="majorBidi"/>
          <w:rtl/>
          <w:lang w:bidi="ar-IQ"/>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2" w:name="P031028"/>
            <w:bookmarkEnd w:id="32"/>
            <w:r w:rsidRPr="00510BF4">
              <w:rPr>
                <w:rFonts w:asciiTheme="majorBidi" w:eastAsia="Times New Roman" w:hAnsiTheme="majorBidi" w:cstheme="majorBidi"/>
              </w:rPr>
              <w:t xml:space="preserve">The synthesis of </w:t>
            </w:r>
            <w:hyperlink r:id="rId18"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4"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from </w:t>
            </w:r>
            <w:proofErr w:type="spellStart"/>
            <w:r w:rsidRPr="00510BF4">
              <w:rPr>
                <w:rFonts w:asciiTheme="majorBidi" w:eastAsia="Times New Roman" w:hAnsiTheme="majorBidi" w:cstheme="majorBidi"/>
              </w:rPr>
              <w:t>calcifediol</w:t>
            </w:r>
            <w:proofErr w:type="spellEnd"/>
            <w:r w:rsidRPr="00510BF4">
              <w:rPr>
                <w:rFonts w:asciiTheme="majorBidi" w:eastAsia="Times New Roman" w:hAnsiTheme="majorBidi" w:cstheme="majorBidi"/>
              </w:rPr>
              <w:t xml:space="preserve"> is regulated by PTH, and is also influenced by the phosphate concentration in the plasma and by the </w:t>
            </w:r>
            <w:hyperlink r:id="rId19"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5"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concentration itself through a negative feedback mechanism Receptors for </w:t>
            </w:r>
            <w:hyperlink r:id="rId20"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6"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have been identified in virtually every tissue except liver, and it is now considered that </w:t>
            </w:r>
            <w:hyperlink r:id="rId21"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7"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may be important in the functioning of many cell types.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7510" w:type="pct"/>
        <w:tblCellSpacing w:w="0" w:type="dxa"/>
        <w:tblInd w:w="-993" w:type="dxa"/>
        <w:tblCellMar>
          <w:left w:w="0" w:type="dxa"/>
          <w:right w:w="0" w:type="dxa"/>
        </w:tblCellMar>
        <w:tblLook w:val="04A0"/>
      </w:tblPr>
      <w:tblGrid>
        <w:gridCol w:w="10066"/>
        <w:gridCol w:w="2410"/>
      </w:tblGrid>
      <w:tr w:rsidR="00C579D1" w:rsidRPr="00510BF4" w:rsidTr="00C44B01">
        <w:trPr>
          <w:gridAfter w:val="1"/>
          <w:wAfter w:w="966" w:type="pct"/>
          <w:tblCellSpacing w:w="0" w:type="dxa"/>
        </w:trPr>
        <w:tc>
          <w:tcPr>
            <w:tcW w:w="4034"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3" w:name="P031030"/>
            <w:bookmarkEnd w:id="33"/>
            <w:r w:rsidRPr="00510BF4">
              <w:rPr>
                <w:rFonts w:asciiTheme="majorBidi" w:eastAsia="Times New Roman" w:hAnsiTheme="majorBidi" w:cstheme="majorBidi"/>
              </w:rPr>
              <w:t xml:space="preserve">The main actions of </w:t>
            </w:r>
            <w:hyperlink r:id="rId22"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8"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are the stimulation of absorption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and phosphate in the intestine, and the </w:t>
            </w:r>
            <w:proofErr w:type="spellStart"/>
            <w:r w:rsidRPr="00510BF4">
              <w:rPr>
                <w:rFonts w:asciiTheme="majorBidi" w:eastAsia="Times New Roman" w:hAnsiTheme="majorBidi" w:cstheme="majorBidi"/>
              </w:rPr>
              <w:t>mobilisation</w:t>
            </w:r>
            <w:proofErr w:type="spellEnd"/>
            <w:r w:rsidRPr="00510BF4">
              <w:rPr>
                <w:rFonts w:asciiTheme="majorBidi" w:eastAsia="Times New Roman" w:hAnsiTheme="majorBidi" w:cstheme="majorBidi"/>
              </w:rPr>
              <w:t xml:space="preserve"> of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from bone, but it also increases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reabsorption</w:t>
            </w:r>
            <w:proofErr w:type="spellEnd"/>
            <w:r w:rsidRPr="00510BF4">
              <w:rPr>
                <w:rFonts w:asciiTheme="majorBidi" w:eastAsia="Times New Roman" w:hAnsiTheme="majorBidi" w:cstheme="majorBidi"/>
              </w:rPr>
              <w:t xml:space="preserve"> in the kidney tubules Its effect on bone involves promotion of maturation of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and indirect stimulation of their </w:t>
            </w:r>
            <w:proofErr w:type="spellStart"/>
            <w:r w:rsidRPr="00510BF4">
              <w:rPr>
                <w:rFonts w:asciiTheme="majorBidi" w:eastAsia="Times New Roman" w:hAnsiTheme="majorBidi" w:cstheme="majorBidi"/>
              </w:rPr>
              <w:t>activityIt</w:t>
            </w:r>
            <w:proofErr w:type="spellEnd"/>
            <w:r w:rsidRPr="00510BF4">
              <w:rPr>
                <w:rFonts w:asciiTheme="majorBidi" w:eastAsia="Times New Roman" w:hAnsiTheme="majorBidi" w:cstheme="majorBidi"/>
              </w:rPr>
              <w:t xml:space="preserve"> decreases collagen synthesis by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and its effect on these cells is by the classic steroid pathway, involving intracellular receptors and an effect on the DNA. However, the effect on bone is complex and is clearly not confined to </w:t>
            </w:r>
            <w:proofErr w:type="spellStart"/>
            <w:r w:rsidRPr="00510BF4">
              <w:rPr>
                <w:rFonts w:asciiTheme="majorBidi" w:eastAsia="Times New Roman" w:hAnsiTheme="majorBidi" w:cstheme="majorBidi"/>
              </w:rPr>
              <w:t>mobilising</w:t>
            </w:r>
            <w:proofErr w:type="spellEnd"/>
            <w:r w:rsidRPr="00510BF4">
              <w:rPr>
                <w:rFonts w:asciiTheme="majorBidi" w:eastAsia="Times New Roman" w:hAnsiTheme="majorBidi" w:cstheme="majorBidi"/>
              </w:rPr>
              <w:t xml:space="preserve">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because in clinical vitamin D deficiency (see below), in which the </w:t>
            </w:r>
            <w:proofErr w:type="spellStart"/>
            <w:r w:rsidRPr="00510BF4">
              <w:rPr>
                <w:rFonts w:asciiTheme="majorBidi" w:eastAsia="Times New Roman" w:hAnsiTheme="majorBidi" w:cstheme="majorBidi"/>
              </w:rPr>
              <w:t>mineralisation</w:t>
            </w:r>
            <w:proofErr w:type="spellEnd"/>
            <w:r w:rsidRPr="00510BF4">
              <w:rPr>
                <w:rFonts w:asciiTheme="majorBidi" w:eastAsia="Times New Roman" w:hAnsiTheme="majorBidi" w:cstheme="majorBidi"/>
              </w:rPr>
              <w:t xml:space="preserve"> of bone is </w:t>
            </w:r>
            <w:proofErr w:type="gramStart"/>
            <w:r w:rsidRPr="00510BF4">
              <w:rPr>
                <w:rFonts w:asciiTheme="majorBidi" w:eastAsia="Times New Roman" w:hAnsiTheme="majorBidi" w:cstheme="majorBidi"/>
              </w:rPr>
              <w:t>impaired,</w:t>
            </w:r>
            <w:proofErr w:type="gramEnd"/>
            <w:r w:rsidRPr="00510BF4">
              <w:rPr>
                <w:rFonts w:asciiTheme="majorBidi" w:eastAsia="Times New Roman" w:hAnsiTheme="majorBidi" w:cstheme="majorBidi"/>
              </w:rPr>
              <w:t xml:space="preserve"> administration of vitamin D restores bone formation. One explanation may lie in the fact that </w:t>
            </w:r>
            <w:hyperlink r:id="rId23"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39" type="#_x0000_t75" alt="View drug information" href="mk:@MSITStore:H:\New%20Folder\Rand%20&amp;%20Dale's%20Pharmacology%20(Churchill%20Livingstone,%202007).CHM::/www.studentconsult.com/content/bookcontent.cfm@id=hc031003.htm" title="&quot;View drug information&quot;" style="width:6.75pt;height:9pt" o:button="t"/>
                </w:pict>
              </w:r>
            </w:hyperlink>
            <w:r w:rsidRPr="00510BF4">
              <w:rPr>
                <w:rFonts w:asciiTheme="majorBidi" w:eastAsia="Times New Roman" w:hAnsiTheme="majorBidi" w:cstheme="majorBidi"/>
              </w:rPr>
              <w:t xml:space="preserve"> stimulates synthesis of </w:t>
            </w:r>
            <w:proofErr w:type="spellStart"/>
            <w:r w:rsidRPr="00510BF4">
              <w:rPr>
                <w:rFonts w:asciiTheme="majorBidi" w:eastAsia="Times New Roman" w:hAnsiTheme="majorBidi" w:cstheme="majorBidi"/>
              </w:rPr>
              <w:t>osteocalcin</w:t>
            </w:r>
            <w:proofErr w:type="spellEnd"/>
            <w:r w:rsidRPr="00510BF4">
              <w:rPr>
                <w:rFonts w:asciiTheme="majorBidi" w:eastAsia="Times New Roman" w:hAnsiTheme="majorBidi" w:cstheme="majorBidi"/>
              </w:rPr>
              <w:t>, the vitamin K-dependent,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-binding protein of bone matrix</w:t>
            </w:r>
          </w:p>
          <w:p w:rsidR="00970623" w:rsidRPr="00510BF4" w:rsidRDefault="00970623" w:rsidP="00510BF4">
            <w:pPr>
              <w:bidi w:val="0"/>
              <w:spacing w:after="0" w:line="240" w:lineRule="auto"/>
              <w:jc w:val="both"/>
              <w:rPr>
                <w:rFonts w:asciiTheme="majorBidi" w:eastAsia="Times New Roman" w:hAnsiTheme="majorBidi" w:cstheme="majorBidi"/>
              </w:rPr>
            </w:pPr>
          </w:p>
        </w:tc>
      </w:tr>
      <w:tr w:rsidR="00C579D1" w:rsidRPr="00510BF4" w:rsidTr="00C44B01">
        <w:trPr>
          <w:tblCellSpacing w:w="0" w:type="dxa"/>
        </w:trPr>
        <w:tc>
          <w:tcPr>
            <w:tcW w:w="5000" w:type="pct"/>
            <w:gridSpan w:val="2"/>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34" w:name="HC031011"/>
            <w:bookmarkEnd w:id="34"/>
            <w:r w:rsidRPr="00D568A0">
              <w:rPr>
                <w:rFonts w:asciiTheme="majorBidi" w:eastAsia="Times New Roman" w:hAnsiTheme="majorBidi" w:cstheme="majorBidi"/>
                <w:b/>
                <w:bCs/>
              </w:rPr>
              <w:t xml:space="preserve">OESTROGENS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5" w:name="P031031"/>
            <w:bookmarkEnd w:id="35"/>
            <w:r w:rsidRPr="00510BF4">
              <w:rPr>
                <w:rFonts w:asciiTheme="majorBidi" w:eastAsia="Times New Roman" w:hAnsiTheme="majorBidi" w:cstheme="majorBidi"/>
              </w:rPr>
              <w:t xml:space="preserve">During reproductive life in the female, </w:t>
            </w:r>
            <w:proofErr w:type="spellStart"/>
            <w:r w:rsidRPr="00510BF4">
              <w:rPr>
                <w:rFonts w:asciiTheme="majorBidi" w:eastAsia="Times New Roman" w:hAnsiTheme="majorBidi" w:cstheme="majorBidi"/>
              </w:rPr>
              <w:t>oestrogens</w:t>
            </w:r>
            <w:proofErr w:type="spellEnd"/>
            <w:r w:rsidRPr="00510BF4">
              <w:rPr>
                <w:rFonts w:asciiTheme="majorBidi" w:eastAsia="Times New Roman" w:hAnsiTheme="majorBidi" w:cstheme="majorBidi"/>
              </w:rPr>
              <w:t xml:space="preserve"> have an important role in maintenance of bone integrity. They inhibit the cytokines that recruit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and oppose the bone-</w:t>
            </w:r>
            <w:proofErr w:type="spellStart"/>
            <w:r w:rsidRPr="00510BF4">
              <w:rPr>
                <w:rFonts w:asciiTheme="majorBidi" w:eastAsia="Times New Roman" w:hAnsiTheme="majorBidi" w:cstheme="majorBidi"/>
              </w:rPr>
              <w:t>resorbing</w:t>
            </w:r>
            <w:proofErr w:type="spellEnd"/>
            <w:r w:rsidRPr="00510BF4">
              <w:rPr>
                <w:rFonts w:asciiTheme="majorBidi" w:eastAsia="Times New Roman" w:hAnsiTheme="majorBidi" w:cstheme="majorBidi"/>
              </w:rPr>
              <w:t>,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w:t>
            </w:r>
            <w:proofErr w:type="spellStart"/>
            <w:r w:rsidRPr="00510BF4">
              <w:rPr>
                <w:rFonts w:asciiTheme="majorBidi" w:eastAsia="Times New Roman" w:hAnsiTheme="majorBidi" w:cstheme="majorBidi"/>
              </w:rPr>
              <w:t>mobilising</w:t>
            </w:r>
            <w:proofErr w:type="spellEnd"/>
            <w:r w:rsidRPr="00510BF4">
              <w:rPr>
                <w:rFonts w:asciiTheme="majorBidi" w:eastAsia="Times New Roman" w:hAnsiTheme="majorBidi" w:cstheme="majorBidi"/>
              </w:rPr>
              <w:t xml:space="preserve"> action of PTH. Withdrawal of </w:t>
            </w:r>
            <w:proofErr w:type="spellStart"/>
            <w:r w:rsidRPr="00510BF4">
              <w:rPr>
                <w:rFonts w:asciiTheme="majorBidi" w:eastAsia="Times New Roman" w:hAnsiTheme="majorBidi" w:cstheme="majorBidi"/>
              </w:rPr>
              <w:t>oestrogen</w:t>
            </w:r>
            <w:proofErr w:type="spellEnd"/>
            <w:r w:rsidRPr="00510BF4">
              <w:rPr>
                <w:rFonts w:asciiTheme="majorBidi" w:eastAsia="Times New Roman" w:hAnsiTheme="majorBidi" w:cstheme="majorBidi"/>
              </w:rPr>
              <w:t xml:space="preserve">, as happens at the menopause, can lead to osteoporosis.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36" w:name="HC031012"/>
            <w:bookmarkEnd w:id="36"/>
            <w:r w:rsidRPr="00D568A0">
              <w:rPr>
                <w:rFonts w:asciiTheme="majorBidi" w:eastAsia="Times New Roman" w:hAnsiTheme="majorBidi" w:cstheme="majorBidi"/>
                <w:b/>
                <w:bCs/>
              </w:rPr>
              <w:t xml:space="preserve">CALCITONIN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29" w:type="pct"/>
        <w:tblCellSpacing w:w="0" w:type="dxa"/>
        <w:tblInd w:w="-1134" w:type="dxa"/>
        <w:tblCellMar>
          <w:left w:w="0" w:type="dxa"/>
          <w:right w:w="0" w:type="dxa"/>
        </w:tblCellMar>
        <w:tblLook w:val="04A0"/>
      </w:tblPr>
      <w:tblGrid>
        <w:gridCol w:w="10348"/>
      </w:tblGrid>
      <w:tr w:rsidR="00C579D1" w:rsidRPr="00510BF4" w:rsidTr="00C44B01">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7" w:name="P031032"/>
            <w:bookmarkEnd w:id="37"/>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is a hormone secreted by the </w:t>
            </w:r>
            <w:proofErr w:type="spellStart"/>
            <w:r w:rsidRPr="00510BF4">
              <w:rPr>
                <w:rFonts w:asciiTheme="majorBidi" w:eastAsia="Times New Roman" w:hAnsiTheme="majorBidi" w:cstheme="majorBidi"/>
              </w:rPr>
              <w:t>specialised</w:t>
            </w:r>
            <w:proofErr w:type="spellEnd"/>
            <w:r w:rsidRPr="00510BF4">
              <w:rPr>
                <w:rFonts w:asciiTheme="majorBidi" w:eastAsia="Times New Roman" w:hAnsiTheme="majorBidi" w:cstheme="majorBidi"/>
              </w:rPr>
              <w:t xml:space="preserve"> 'C' cells found in the thyroid follicles.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29" w:type="pct"/>
        <w:tblCellSpacing w:w="0" w:type="dxa"/>
        <w:tblInd w:w="-1134" w:type="dxa"/>
        <w:tblCellMar>
          <w:left w:w="0" w:type="dxa"/>
          <w:right w:w="0" w:type="dxa"/>
        </w:tblCellMar>
        <w:tblLook w:val="04A0"/>
      </w:tblPr>
      <w:tblGrid>
        <w:gridCol w:w="10348"/>
      </w:tblGrid>
      <w:tr w:rsidR="00C579D1" w:rsidRPr="00510BF4" w:rsidTr="00C44B01">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38" w:name="P031033"/>
            <w:bookmarkEnd w:id="38"/>
            <w:r w:rsidRPr="00510BF4">
              <w:rPr>
                <w:rFonts w:asciiTheme="majorBidi" w:eastAsia="Times New Roman" w:hAnsiTheme="majorBidi" w:cstheme="majorBidi"/>
              </w:rPr>
              <w:t xml:space="preserve">The main action of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is on bone; it inhibits bone </w:t>
            </w:r>
            <w:proofErr w:type="spellStart"/>
            <w:r w:rsidRPr="00510BF4">
              <w:rPr>
                <w:rFonts w:asciiTheme="majorBidi" w:eastAsia="Times New Roman" w:hAnsiTheme="majorBidi" w:cstheme="majorBidi"/>
              </w:rPr>
              <w:t>resorption</w:t>
            </w:r>
            <w:proofErr w:type="spellEnd"/>
            <w:r w:rsidRPr="00510BF4">
              <w:rPr>
                <w:rFonts w:asciiTheme="majorBidi" w:eastAsia="Times New Roman" w:hAnsiTheme="majorBidi" w:cstheme="majorBidi"/>
              </w:rPr>
              <w:t xml:space="preserve"> by binding to a specific receptor on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inhibiting their action. In the kidney, it decreases the </w:t>
            </w:r>
            <w:proofErr w:type="spellStart"/>
            <w:r w:rsidRPr="00510BF4">
              <w:rPr>
                <w:rFonts w:asciiTheme="majorBidi" w:eastAsia="Times New Roman" w:hAnsiTheme="majorBidi" w:cstheme="majorBidi"/>
              </w:rPr>
              <w:t>reabsorption</w:t>
            </w:r>
            <w:proofErr w:type="spellEnd"/>
            <w:r w:rsidRPr="00510BF4">
              <w:rPr>
                <w:rFonts w:asciiTheme="majorBidi" w:eastAsia="Times New Roman" w:hAnsiTheme="majorBidi" w:cstheme="majorBidi"/>
              </w:rPr>
              <w:t xml:space="preserve"> of both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and phosphate in the proximal tubules. Its overall effect is to decrease the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39" w:name="P031034"/>
            <w:bookmarkEnd w:id="39"/>
            <w:r w:rsidRPr="00510BF4">
              <w:rPr>
                <w:rFonts w:asciiTheme="majorBidi" w:eastAsia="Times New Roman" w:hAnsiTheme="majorBidi" w:cstheme="majorBidi"/>
              </w:rPr>
              <w:t>Secretion is determined mainly by the 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w:t>
            </w:r>
          </w:p>
          <w:p w:rsidR="00C579D1" w:rsidRPr="00510BF4" w:rsidRDefault="00C579D1"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40" w:name="HC031013"/>
            <w:bookmarkEnd w:id="40"/>
            <w:r w:rsidRPr="00D568A0">
              <w:rPr>
                <w:rFonts w:asciiTheme="majorBidi" w:eastAsia="Times New Roman" w:hAnsiTheme="majorBidi" w:cstheme="majorBidi"/>
                <w:b/>
                <w:bCs/>
              </w:rPr>
              <w:t xml:space="preserve">GLUCOCORTICOIDS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064"/>
        <w:gridCol w:w="426"/>
      </w:tblGrid>
      <w:tr w:rsidR="00C579D1" w:rsidRPr="00510BF4" w:rsidTr="00BD7FF7">
        <w:trPr>
          <w:gridAfter w:val="1"/>
          <w:wAfter w:w="203" w:type="pct"/>
          <w:tblCellSpacing w:w="0" w:type="dxa"/>
        </w:trPr>
        <w:tc>
          <w:tcPr>
            <w:tcW w:w="4797"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1" w:name="P031035"/>
            <w:bookmarkEnd w:id="41"/>
            <w:r w:rsidRPr="00510BF4">
              <w:rPr>
                <w:rFonts w:asciiTheme="majorBidi" w:eastAsia="Times New Roman" w:hAnsiTheme="majorBidi" w:cstheme="majorBidi"/>
              </w:rPr>
              <w:t xml:space="preserve">Physiological concentrations of </w:t>
            </w:r>
            <w:proofErr w:type="spellStart"/>
            <w:r w:rsidRPr="00510BF4">
              <w:rPr>
                <w:rFonts w:asciiTheme="majorBidi" w:eastAsia="Times New Roman" w:hAnsiTheme="majorBidi" w:cstheme="majorBidi"/>
              </w:rPr>
              <w:t>glucocorticoids</w:t>
            </w:r>
            <w:proofErr w:type="spellEnd"/>
            <w:r w:rsidRPr="00510BF4">
              <w:rPr>
                <w:rFonts w:asciiTheme="majorBidi" w:eastAsia="Times New Roman" w:hAnsiTheme="majorBidi" w:cstheme="majorBidi"/>
              </w:rPr>
              <w:t xml:space="preserve"> are required for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differentiation. Excessive pharmacological concentrations inhibit bone formation by inhibiting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differentiation and activity, and may stimulate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action-leading to osteoporosis. This latter effect is also evident when pathological concentrations of endogenous </w:t>
            </w:r>
            <w:proofErr w:type="spellStart"/>
            <w:r w:rsidRPr="00510BF4">
              <w:rPr>
                <w:rFonts w:asciiTheme="majorBidi" w:eastAsia="Times New Roman" w:hAnsiTheme="majorBidi" w:cstheme="majorBidi"/>
              </w:rPr>
              <w:t>glucocorticoids</w:t>
            </w:r>
            <w:proofErr w:type="spellEnd"/>
            <w:r w:rsidRPr="00510BF4">
              <w:rPr>
                <w:rFonts w:asciiTheme="majorBidi" w:eastAsia="Times New Roman" w:hAnsiTheme="majorBidi" w:cstheme="majorBidi"/>
              </w:rPr>
              <w:t xml:space="preserve"> are present, as in Cushing's syndrome </w:t>
            </w:r>
          </w:p>
          <w:p w:rsidR="00970623" w:rsidRPr="00510BF4" w:rsidRDefault="00970623" w:rsidP="00510BF4">
            <w:pPr>
              <w:bidi w:val="0"/>
              <w:spacing w:after="0" w:line="240" w:lineRule="auto"/>
              <w:jc w:val="both"/>
              <w:rPr>
                <w:rFonts w:asciiTheme="majorBidi" w:eastAsia="Times New Roman" w:hAnsiTheme="majorBidi" w:cstheme="majorBidi"/>
              </w:rPr>
            </w:pPr>
          </w:p>
        </w:tc>
      </w:tr>
      <w:tr w:rsidR="00C579D1" w:rsidRPr="00510BF4" w:rsidTr="00BD7FF7">
        <w:trPr>
          <w:tblCellSpacing w:w="0" w:type="dxa"/>
        </w:trPr>
        <w:tc>
          <w:tcPr>
            <w:tcW w:w="5000" w:type="pct"/>
            <w:gridSpan w:val="2"/>
            <w:shd w:val="clear" w:color="auto" w:fill="FFFFFF"/>
            <w:vAlign w:val="center"/>
            <w:hideMark/>
          </w:tcPr>
          <w:p w:rsidR="00C579D1" w:rsidRPr="00D568A0" w:rsidRDefault="00C579D1" w:rsidP="00D568A0">
            <w:pPr>
              <w:bidi w:val="0"/>
              <w:spacing w:after="0" w:line="240" w:lineRule="auto"/>
              <w:jc w:val="center"/>
              <w:rPr>
                <w:rFonts w:asciiTheme="majorBidi" w:eastAsia="Times New Roman" w:hAnsiTheme="majorBidi" w:cstheme="majorBidi"/>
                <w:b/>
                <w:bCs/>
              </w:rPr>
            </w:pPr>
            <w:bookmarkStart w:id="42" w:name="HC031018"/>
            <w:bookmarkEnd w:id="42"/>
            <w:r w:rsidRPr="00D568A0">
              <w:rPr>
                <w:rFonts w:asciiTheme="majorBidi" w:eastAsia="Times New Roman" w:hAnsiTheme="majorBidi" w:cstheme="majorBidi"/>
                <w:b/>
                <w:bCs/>
              </w:rPr>
              <w:t>DRUGS USED IN BONE DISORDERS</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u w:val="single"/>
              </w:rPr>
            </w:pPr>
            <w:bookmarkStart w:id="43" w:name="HC031019"/>
            <w:bookmarkEnd w:id="43"/>
            <w:r w:rsidRPr="00D568A0">
              <w:rPr>
                <w:rFonts w:asciiTheme="majorBidi" w:eastAsia="Times New Roman" w:hAnsiTheme="majorBidi" w:cstheme="majorBidi"/>
                <w:b/>
                <w:bCs/>
                <w:u w:val="single"/>
              </w:rPr>
              <w:t>BISPHOSPHONATES</w:t>
            </w:r>
          </w:p>
          <w:p w:rsidR="00C579D1" w:rsidRPr="00510BF4" w:rsidRDefault="00C579D1"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4" w:name="P031041"/>
            <w:bookmarkEnd w:id="44"/>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are enzyme-resistant analogues of pyrophosphate that inhibit bone </w:t>
            </w:r>
            <w:proofErr w:type="spellStart"/>
            <w:r w:rsidRPr="00510BF4">
              <w:rPr>
                <w:rFonts w:asciiTheme="majorBidi" w:eastAsia="Times New Roman" w:hAnsiTheme="majorBidi" w:cstheme="majorBidi"/>
              </w:rPr>
              <w:t>resorption</w:t>
            </w:r>
            <w:proofErr w:type="spellEnd"/>
            <w:r w:rsidRPr="00510BF4">
              <w:rPr>
                <w:rFonts w:asciiTheme="majorBidi" w:eastAsia="Times New Roman" w:hAnsiTheme="majorBidi" w:cstheme="majorBidi"/>
              </w:rPr>
              <w:t xml:space="preserve"> by an action mainly on the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After administration, they are bound to bone minerals in the matrix and are released slowly as bone is </w:t>
            </w:r>
            <w:proofErr w:type="spellStart"/>
            <w:r w:rsidRPr="00510BF4">
              <w:rPr>
                <w:rFonts w:asciiTheme="majorBidi" w:eastAsia="Times New Roman" w:hAnsiTheme="majorBidi" w:cstheme="majorBidi"/>
              </w:rPr>
              <w:t>resorbed</w:t>
            </w:r>
            <w:proofErr w:type="spellEnd"/>
            <w:r w:rsidRPr="00510BF4">
              <w:rPr>
                <w:rFonts w:asciiTheme="majorBidi" w:eastAsia="Times New Roman" w:hAnsiTheme="majorBidi" w:cstheme="majorBidi"/>
              </w:rPr>
              <w:t xml:space="preserve"> by the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which are thus exposed to high concentrations of the drugs.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5" w:name="P031042"/>
            <w:bookmarkEnd w:id="45"/>
            <w:r w:rsidRPr="00510BF4">
              <w:rPr>
                <w:rFonts w:asciiTheme="majorBidi" w:eastAsia="Times New Roman" w:hAnsiTheme="majorBidi" w:cstheme="majorBidi"/>
              </w:rPr>
              <w:t xml:space="preserve">The main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available for clinical use are </w:t>
            </w:r>
            <w:proofErr w:type="spellStart"/>
            <w:r w:rsidRPr="00510BF4">
              <w:rPr>
                <w:rFonts w:asciiTheme="majorBidi" w:eastAsia="Times New Roman" w:hAnsiTheme="majorBidi" w:cstheme="majorBidi"/>
              </w:rPr>
              <w:t>alendronate</w:t>
            </w:r>
            <w:proofErr w:type="spellEnd"/>
            <w:r w:rsidRPr="00510BF4">
              <w:rPr>
                <w:rFonts w:asciiTheme="majorBidi" w:eastAsia="Times New Roman" w:hAnsiTheme="majorBidi" w:cstheme="majorBidi"/>
              </w:rPr>
              <w:t xml:space="preserve"> and </w:t>
            </w:r>
            <w:proofErr w:type="spellStart"/>
            <w:r w:rsidRPr="00510BF4">
              <w:rPr>
                <w:rFonts w:asciiTheme="majorBidi" w:eastAsia="Times New Roman" w:hAnsiTheme="majorBidi" w:cstheme="majorBidi"/>
              </w:rPr>
              <w:t>risedronate</w:t>
            </w:r>
            <w:proofErr w:type="spellEnd"/>
            <w:r w:rsidRPr="00510BF4">
              <w:rPr>
                <w:rFonts w:asciiTheme="majorBidi" w:eastAsia="Times New Roman" w:hAnsiTheme="majorBidi" w:cstheme="majorBidi"/>
              </w:rPr>
              <w:t xml:space="preserve">. Others are disodium </w:t>
            </w:r>
            <w:proofErr w:type="spellStart"/>
            <w:r w:rsidRPr="00510BF4">
              <w:rPr>
                <w:rFonts w:asciiTheme="majorBidi" w:eastAsia="Times New Roman" w:hAnsiTheme="majorBidi" w:cstheme="majorBidi"/>
              </w:rPr>
              <w:t>pamidronate</w:t>
            </w:r>
            <w:proofErr w:type="spellEnd"/>
            <w:r w:rsidRPr="00510BF4">
              <w:rPr>
                <w:rFonts w:asciiTheme="majorBidi" w:eastAsia="Times New Roman" w:hAnsiTheme="majorBidi" w:cstheme="majorBidi"/>
              </w:rPr>
              <w:t xml:space="preserve"> and sodium </w:t>
            </w:r>
            <w:proofErr w:type="spellStart"/>
            <w:r w:rsidRPr="00510BF4">
              <w:rPr>
                <w:rFonts w:asciiTheme="majorBidi" w:eastAsia="Times New Roman" w:hAnsiTheme="majorBidi" w:cstheme="majorBidi"/>
              </w:rPr>
              <w:t>clodronate</w:t>
            </w:r>
            <w:proofErr w:type="spellEnd"/>
            <w:r w:rsidRPr="00510BF4">
              <w:rPr>
                <w:rFonts w:asciiTheme="majorBidi" w:eastAsia="Times New Roman" w:hAnsiTheme="majorBidi" w:cstheme="majorBidi"/>
              </w:rPr>
              <w:t xml:space="preserve">. A newer compound, </w:t>
            </w:r>
            <w:hyperlink r:id="rId24" w:tooltip="View drug information" w:history="1">
              <w:proofErr w:type="spellStart"/>
              <w:r w:rsidRPr="00510BF4">
                <w:rPr>
                  <w:rFonts w:asciiTheme="majorBidi" w:eastAsia="Times New Roman" w:hAnsiTheme="majorBidi" w:cstheme="majorBidi"/>
                  <w:u w:val="single"/>
                </w:rPr>
                <w:t>zoledronic</w:t>
              </w:r>
              <w:proofErr w:type="spellEnd"/>
              <w:r w:rsidRPr="00510BF4">
                <w:rPr>
                  <w:rFonts w:asciiTheme="majorBidi" w:eastAsia="Times New Roman" w:hAnsiTheme="majorBidi" w:cstheme="majorBidi"/>
                  <w:u w:val="single"/>
                </w:rPr>
                <w:t xml:space="preserve"> acid</w:t>
              </w:r>
              <w:r w:rsidR="00BC63EC" w:rsidRPr="00510BF4">
                <w:rPr>
                  <w:rFonts w:asciiTheme="majorBidi" w:eastAsia="Times New Roman" w:hAnsiTheme="majorBidi" w:cstheme="majorBidi"/>
                </w:rPr>
                <w:pict>
                  <v:shape id="_x0000_i1040"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which is given only once in a single intravenous infusion, is now used for malignancy and is in clinical trial for Paget's disease and osteoporosis.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6" w:name="HC031021"/>
            <w:bookmarkEnd w:id="46"/>
            <w:r w:rsidRPr="00510BF4">
              <w:rPr>
                <w:rFonts w:asciiTheme="majorBidi" w:eastAsia="Times New Roman" w:hAnsiTheme="majorBidi" w:cstheme="majorBidi"/>
              </w:rPr>
              <w:t xml:space="preserve">Mechanism of action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7" w:name="P031043"/>
            <w:bookmarkEnd w:id="47"/>
            <w:r w:rsidRPr="00510BF4">
              <w:rPr>
                <w:rFonts w:asciiTheme="majorBidi" w:eastAsia="Times New Roman" w:hAnsiTheme="majorBidi" w:cstheme="majorBidi"/>
              </w:rPr>
              <w:t xml:space="preserve">In terms of their molecular mechanism of action, the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can be grouped into two classes.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993"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numPr>
                <w:ilvl w:val="0"/>
                <w:numId w:val="4"/>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simple compounds that are very similar to pyrophosphate are incorporated into ATP analogues that accumulate within the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and promote their apoptosis. </w:t>
            </w:r>
          </w:p>
          <w:p w:rsidR="00C579D1" w:rsidRPr="00510BF4" w:rsidRDefault="00C579D1" w:rsidP="00510BF4">
            <w:pPr>
              <w:numPr>
                <w:ilvl w:val="0"/>
                <w:numId w:val="4"/>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potent, nitrogen-containing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-such as </w:t>
            </w:r>
            <w:proofErr w:type="spellStart"/>
            <w:r w:rsidRPr="00510BF4">
              <w:rPr>
                <w:rFonts w:asciiTheme="majorBidi" w:eastAsia="Times New Roman" w:hAnsiTheme="majorBidi" w:cstheme="majorBidi"/>
              </w:rPr>
              <w:t>alendronate</w:t>
            </w:r>
            <w:proofErr w:type="spellEnd"/>
            <w:r w:rsidRPr="00510BF4">
              <w:rPr>
                <w:rFonts w:asciiTheme="majorBidi" w:eastAsia="Times New Roman" w:hAnsiTheme="majorBidi" w:cstheme="majorBidi"/>
              </w:rPr>
              <w:t xml:space="preserve"> and </w:t>
            </w:r>
            <w:proofErr w:type="spellStart"/>
            <w:r w:rsidRPr="00510BF4">
              <w:rPr>
                <w:rFonts w:asciiTheme="majorBidi" w:eastAsia="Times New Roman" w:hAnsiTheme="majorBidi" w:cstheme="majorBidi"/>
              </w:rPr>
              <w:t>ibandronate</w:t>
            </w:r>
            <w:proofErr w:type="spellEnd"/>
            <w:r w:rsidRPr="00510BF4">
              <w:rPr>
                <w:rFonts w:asciiTheme="majorBidi" w:eastAsia="Times New Roman" w:hAnsiTheme="majorBidi" w:cstheme="majorBidi"/>
              </w:rPr>
              <w:t xml:space="preserve">-interfere with the formation of the ruffled border at the attachment site of the cell to bone, preventing bone </w:t>
            </w:r>
            <w:proofErr w:type="spellStart"/>
            <w:r w:rsidRPr="00510BF4">
              <w:rPr>
                <w:rFonts w:asciiTheme="majorBidi" w:eastAsia="Times New Roman" w:hAnsiTheme="majorBidi" w:cstheme="majorBidi"/>
              </w:rPr>
              <w:t>resorption</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numPr>
                <w:ilvl w:val="0"/>
                <w:numId w:val="5"/>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The nitrogen-containing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appear to inhibit </w:t>
            </w:r>
            <w:proofErr w:type="spellStart"/>
            <w:r w:rsidRPr="00510BF4">
              <w:rPr>
                <w:rFonts w:asciiTheme="majorBidi" w:eastAsia="Times New Roman" w:hAnsiTheme="majorBidi" w:cstheme="majorBidi"/>
              </w:rPr>
              <w:t>farnesyl</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diphosphate</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synthase</w:t>
            </w:r>
            <w:proofErr w:type="spellEnd"/>
            <w:r w:rsidRPr="00510BF4">
              <w:rPr>
                <w:rFonts w:asciiTheme="majorBidi" w:eastAsia="Times New Roman" w:hAnsiTheme="majorBidi" w:cstheme="majorBidi"/>
              </w:rPr>
              <w:t xml:space="preserve">, an enzyme in the </w:t>
            </w:r>
            <w:proofErr w:type="spellStart"/>
            <w:r w:rsidRPr="00510BF4">
              <w:rPr>
                <w:rFonts w:asciiTheme="majorBidi" w:eastAsia="Times New Roman" w:hAnsiTheme="majorBidi" w:cstheme="majorBidi"/>
              </w:rPr>
              <w:t>mevalonate</w:t>
            </w:r>
            <w:proofErr w:type="spellEnd"/>
            <w:r w:rsidRPr="00510BF4">
              <w:rPr>
                <w:rFonts w:asciiTheme="majorBidi" w:eastAsia="Times New Roman" w:hAnsiTheme="majorBidi" w:cstheme="majorBidi"/>
              </w:rPr>
              <w:t xml:space="preserve"> pathway. Inhibition of this enzyme prevents the synthesis of certain lipids that are essential for the activity of small </w:t>
            </w:r>
            <w:proofErr w:type="spellStart"/>
            <w:r w:rsidRPr="00510BF4">
              <w:rPr>
                <w:rFonts w:asciiTheme="majorBidi" w:eastAsia="Times New Roman" w:hAnsiTheme="majorBidi" w:cstheme="majorBidi"/>
              </w:rPr>
              <w:t>GTPase</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signalling</w:t>
            </w:r>
            <w:proofErr w:type="spellEnd"/>
            <w:r w:rsidRPr="00510BF4">
              <w:rPr>
                <w:rFonts w:asciiTheme="majorBidi" w:eastAsia="Times New Roman" w:hAnsiTheme="majorBidi" w:cstheme="majorBidi"/>
              </w:rPr>
              <w:t xml:space="preserve"> proteins necessary in the formation of the ruffled border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8" w:name="P031044"/>
            <w:bookmarkEnd w:id="48"/>
            <w:r w:rsidRPr="00510BF4">
              <w:rPr>
                <w:rFonts w:asciiTheme="majorBidi" w:eastAsia="Times New Roman" w:hAnsiTheme="majorBidi" w:cstheme="majorBidi"/>
              </w:rPr>
              <w:t xml:space="preserve">It is now known that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are incorporated into the bone matrix and ingested by </w:t>
            </w:r>
            <w:proofErr w:type="spellStart"/>
            <w:r w:rsidRPr="00510BF4">
              <w:rPr>
                <w:rFonts w:asciiTheme="majorBidi" w:eastAsia="Times New Roman" w:hAnsiTheme="majorBidi" w:cstheme="majorBidi"/>
              </w:rPr>
              <w:t>osteoclasts</w:t>
            </w:r>
            <w:proofErr w:type="spellEnd"/>
            <w:r w:rsidRPr="00510BF4">
              <w:rPr>
                <w:rFonts w:asciiTheme="majorBidi" w:eastAsia="Times New Roman" w:hAnsiTheme="majorBidi" w:cstheme="majorBidi"/>
              </w:rPr>
              <w:t xml:space="preserve"> when these </w:t>
            </w:r>
            <w:proofErr w:type="spellStart"/>
            <w:r w:rsidRPr="00510BF4">
              <w:rPr>
                <w:rFonts w:asciiTheme="majorBidi" w:eastAsia="Times New Roman" w:hAnsiTheme="majorBidi" w:cstheme="majorBidi"/>
              </w:rPr>
              <w:t>resorb</w:t>
            </w:r>
            <w:proofErr w:type="spellEnd"/>
            <w:r w:rsidRPr="00510BF4">
              <w:rPr>
                <w:rFonts w:asciiTheme="majorBidi" w:eastAsia="Times New Roman" w:hAnsiTheme="majorBidi" w:cstheme="majorBidi"/>
              </w:rPr>
              <w:t xml:space="preserve"> bone.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49" w:name="HC031022"/>
            <w:bookmarkEnd w:id="49"/>
            <w:r w:rsidRPr="00510BF4">
              <w:rPr>
                <w:rFonts w:asciiTheme="majorBidi" w:eastAsia="Times New Roman" w:hAnsiTheme="majorBidi" w:cstheme="majorBidi"/>
              </w:rPr>
              <w:t xml:space="preserve">Pharmacokinetic aspects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0" w:name="P031045"/>
            <w:bookmarkEnd w:id="50"/>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are usually given orally and are poorly absorbed. They may be given intravenously in malignancy. About 50% of a dose accumulates at sites of bone </w:t>
            </w:r>
            <w:proofErr w:type="spellStart"/>
            <w:r w:rsidRPr="00510BF4">
              <w:rPr>
                <w:rFonts w:asciiTheme="majorBidi" w:eastAsia="Times New Roman" w:hAnsiTheme="majorBidi" w:cstheme="majorBidi"/>
              </w:rPr>
              <w:t>mineralisation</w:t>
            </w:r>
            <w:proofErr w:type="spellEnd"/>
            <w:r w:rsidRPr="00510BF4">
              <w:rPr>
                <w:rFonts w:asciiTheme="majorBidi" w:eastAsia="Times New Roman" w:hAnsiTheme="majorBidi" w:cstheme="majorBidi"/>
              </w:rPr>
              <w:t xml:space="preserve">, where it remains, potentially for months or years, until the bone is </w:t>
            </w:r>
            <w:proofErr w:type="spellStart"/>
            <w:r w:rsidRPr="00510BF4">
              <w:rPr>
                <w:rFonts w:asciiTheme="majorBidi" w:eastAsia="Times New Roman" w:hAnsiTheme="majorBidi" w:cstheme="majorBidi"/>
              </w:rPr>
              <w:t>resorbed</w:t>
            </w:r>
            <w:proofErr w:type="spellEnd"/>
            <w:r w:rsidRPr="00510BF4">
              <w:rPr>
                <w:rFonts w:asciiTheme="majorBidi" w:eastAsia="Times New Roman" w:hAnsiTheme="majorBidi" w:cstheme="majorBidi"/>
              </w:rPr>
              <w:t xml:space="preserve">. The free drug is excreted unchanged by the kidney.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1" w:name="P031046"/>
            <w:bookmarkEnd w:id="51"/>
            <w:r w:rsidRPr="00510BF4">
              <w:rPr>
                <w:rFonts w:asciiTheme="majorBidi" w:eastAsia="Times New Roman" w:hAnsiTheme="majorBidi" w:cstheme="majorBidi"/>
              </w:rPr>
              <w:t xml:space="preserve">Absorption is impaired by food, particularly milk, so the drugs must be taken on an empty stomach.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BD7FF7">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2" w:name="P031047"/>
            <w:bookmarkEnd w:id="52"/>
            <w:r w:rsidRPr="00510BF4">
              <w:rPr>
                <w:rFonts w:asciiTheme="majorBidi" w:eastAsia="Times New Roman" w:hAnsiTheme="majorBidi" w:cstheme="majorBidi"/>
              </w:rPr>
              <w:t xml:space="preserve">Unwanted effects include gastrointestinal disturbances, which can be severe, and occasionally bone pain. Peptic ulcers have occurred. </w:t>
            </w:r>
            <w:proofErr w:type="spellStart"/>
            <w:r w:rsidRPr="00510BF4">
              <w:rPr>
                <w:rFonts w:asciiTheme="majorBidi" w:eastAsia="Times New Roman" w:hAnsiTheme="majorBidi" w:cstheme="majorBidi"/>
              </w:rPr>
              <w:t>Alendronate</w:t>
            </w:r>
            <w:proofErr w:type="spellEnd"/>
            <w:r w:rsidRPr="00510BF4">
              <w:rPr>
                <w:rFonts w:asciiTheme="majorBidi" w:eastAsia="Times New Roman" w:hAnsiTheme="majorBidi" w:cstheme="majorBidi"/>
              </w:rPr>
              <w:t xml:space="preserve"> can cause </w:t>
            </w:r>
            <w:proofErr w:type="spellStart"/>
            <w:r w:rsidRPr="00510BF4">
              <w:rPr>
                <w:rFonts w:asciiTheme="majorBidi" w:eastAsia="Times New Roman" w:hAnsiTheme="majorBidi" w:cstheme="majorBidi"/>
              </w:rPr>
              <w:t>oesophagitis</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1" w:type="pct"/>
        <w:tblCellSpacing w:w="0" w:type="dxa"/>
        <w:tblInd w:w="-851" w:type="dxa"/>
        <w:tblCellMar>
          <w:left w:w="0" w:type="dxa"/>
          <w:right w:w="0" w:type="dxa"/>
        </w:tblCellMar>
        <w:tblLook w:val="04A0"/>
      </w:tblPr>
      <w:tblGrid>
        <w:gridCol w:w="9090"/>
        <w:gridCol w:w="1394"/>
      </w:tblGrid>
      <w:tr w:rsidR="00C579D1" w:rsidRPr="00510BF4" w:rsidTr="00BD7FF7">
        <w:trPr>
          <w:tblCellSpacing w:w="0" w:type="dxa"/>
        </w:trPr>
        <w:tc>
          <w:tcPr>
            <w:tcW w:w="5000" w:type="pct"/>
            <w:gridSpan w:val="2"/>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3" w:name="P031048"/>
            <w:bookmarkEnd w:id="53"/>
            <w:r w:rsidRPr="00510BF4">
              <w:rPr>
                <w:rFonts w:asciiTheme="majorBidi" w:eastAsia="Times New Roman" w:hAnsiTheme="majorBidi" w:cstheme="majorBidi"/>
              </w:rPr>
              <w:t xml:space="preserve">Disodium </w:t>
            </w:r>
            <w:proofErr w:type="spellStart"/>
            <w:r w:rsidRPr="00510BF4">
              <w:rPr>
                <w:rFonts w:asciiTheme="majorBidi" w:eastAsia="Times New Roman" w:hAnsiTheme="majorBidi" w:cstheme="majorBidi"/>
              </w:rPr>
              <w:t>etidronate</w:t>
            </w:r>
            <w:proofErr w:type="spellEnd"/>
            <w:r w:rsidRPr="00510BF4">
              <w:rPr>
                <w:rFonts w:asciiTheme="majorBidi" w:eastAsia="Times New Roman" w:hAnsiTheme="majorBidi" w:cstheme="majorBidi"/>
              </w:rPr>
              <w:t xml:space="preserve"> can increase the risk of fractures due to reduced calcification of bone; this is less likely if it is given cyclically</w:t>
            </w:r>
          </w:p>
        </w:tc>
      </w:tr>
      <w:tr w:rsidR="00C579D1" w:rsidRPr="00510BF4" w:rsidTr="00BD7FF7">
        <w:tblPrEx>
          <w:jc w:val="center"/>
        </w:tblPrEx>
        <w:trPr>
          <w:gridAfter w:val="1"/>
          <w:wAfter w:w="665" w:type="pct"/>
          <w:tblCellSpacing w:w="0" w:type="dxa"/>
          <w:jc w:val="center"/>
        </w:trPr>
        <w:tc>
          <w:tcPr>
            <w:tcW w:w="4335" w:type="pct"/>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4" w:name="B031002"/>
            <w:bookmarkEnd w:id="54"/>
            <w:r w:rsidRPr="00510BF4">
              <w:rPr>
                <w:rFonts w:asciiTheme="majorBidi" w:eastAsia="Times New Roman" w:hAnsiTheme="majorBidi" w:cstheme="majorBidi"/>
              </w:rPr>
              <w:t xml:space="preserve">Clinical uses of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(e.g. </w:t>
            </w:r>
            <w:proofErr w:type="spellStart"/>
            <w:r w:rsidRPr="00510BF4">
              <w:rPr>
                <w:rFonts w:asciiTheme="majorBidi" w:eastAsia="Times New Roman" w:hAnsiTheme="majorBidi" w:cstheme="majorBidi"/>
              </w:rPr>
              <w:t>alendronate</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pamidronate</w:t>
            </w:r>
            <w:proofErr w:type="spellEnd"/>
            <w:r w:rsidRPr="00510BF4">
              <w:rPr>
                <w:rFonts w:asciiTheme="majorBidi" w:eastAsia="Times New Roman" w:hAnsiTheme="majorBidi" w:cstheme="majorBidi"/>
              </w:rPr>
              <w:t>)</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jc w:val="center"/>
        <w:tblCellSpacing w:w="0" w:type="dxa"/>
        <w:tblInd w:w="-993" w:type="dxa"/>
        <w:tblCellMar>
          <w:left w:w="0" w:type="dxa"/>
          <w:right w:w="0" w:type="dxa"/>
        </w:tblCellMar>
        <w:tblLook w:val="04A0"/>
      </w:tblPr>
      <w:tblGrid>
        <w:gridCol w:w="6387"/>
        <w:gridCol w:w="3819"/>
      </w:tblGrid>
      <w:tr w:rsidR="00C579D1" w:rsidRPr="00510BF4" w:rsidTr="00BD7FF7">
        <w:trPr>
          <w:gridAfter w:val="1"/>
          <w:wAfter w:w="1871" w:type="pct"/>
          <w:tblCellSpacing w:w="0" w:type="dxa"/>
          <w:jc w:val="center"/>
        </w:trPr>
        <w:tc>
          <w:tcPr>
            <w:tcW w:w="3129" w:type="pct"/>
            <w:vAlign w:val="center"/>
            <w:hideMark/>
          </w:tcPr>
          <w:p w:rsidR="00C579D1" w:rsidRPr="00510BF4" w:rsidRDefault="00C579D1" w:rsidP="00510BF4">
            <w:pPr>
              <w:numPr>
                <w:ilvl w:val="0"/>
                <w:numId w:val="6"/>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Paget's disease of bone. </w:t>
            </w:r>
          </w:p>
          <w:p w:rsidR="00C579D1" w:rsidRPr="00510BF4" w:rsidRDefault="00C579D1" w:rsidP="00510BF4">
            <w:pPr>
              <w:numPr>
                <w:ilvl w:val="0"/>
                <w:numId w:val="6"/>
              </w:numPr>
              <w:bidi w:val="0"/>
              <w:spacing w:before="100" w:beforeAutospacing="1" w:after="100" w:afterAutospacing="1" w:line="240" w:lineRule="auto"/>
              <w:jc w:val="both"/>
              <w:rPr>
                <w:rFonts w:asciiTheme="majorBidi" w:eastAsia="Times New Roman" w:hAnsiTheme="majorBidi" w:cstheme="majorBidi"/>
              </w:rPr>
            </w:pP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caused by malignant disease. </w:t>
            </w:r>
          </w:p>
          <w:p w:rsidR="00C579D1" w:rsidRPr="00510BF4" w:rsidRDefault="00C579D1" w:rsidP="00510BF4">
            <w:pPr>
              <w:numPr>
                <w:ilvl w:val="0"/>
                <w:numId w:val="6"/>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Prevention or treatment of postmenopausal osteoporosis (as an alternative or addition to </w:t>
            </w:r>
            <w:proofErr w:type="spellStart"/>
            <w:r w:rsidRPr="00510BF4">
              <w:rPr>
                <w:rFonts w:asciiTheme="majorBidi" w:eastAsia="Times New Roman" w:hAnsiTheme="majorBidi" w:cstheme="majorBidi"/>
              </w:rPr>
              <w:t>oestrogens</w:t>
            </w:r>
            <w:proofErr w:type="spellEnd"/>
            <w:r w:rsidRPr="00510BF4">
              <w:rPr>
                <w:rFonts w:asciiTheme="majorBidi" w:eastAsia="Times New Roman" w:hAnsiTheme="majorBidi" w:cstheme="majorBidi"/>
              </w:rPr>
              <w:t xml:space="preserve">). </w:t>
            </w:r>
          </w:p>
          <w:p w:rsidR="00C579D1" w:rsidRPr="00510BF4" w:rsidRDefault="00C579D1" w:rsidP="00510BF4">
            <w:pPr>
              <w:numPr>
                <w:ilvl w:val="0"/>
                <w:numId w:val="6"/>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Prevention or treatment of </w:t>
            </w:r>
            <w:proofErr w:type="spellStart"/>
            <w:r w:rsidRPr="00510BF4">
              <w:rPr>
                <w:rFonts w:asciiTheme="majorBidi" w:eastAsia="Times New Roman" w:hAnsiTheme="majorBidi" w:cstheme="majorBidi"/>
              </w:rPr>
              <w:t>glucocorticoid</w:t>
            </w:r>
            <w:proofErr w:type="spellEnd"/>
            <w:r w:rsidRPr="00510BF4">
              <w:rPr>
                <w:rFonts w:asciiTheme="majorBidi" w:eastAsia="Times New Roman" w:hAnsiTheme="majorBidi" w:cstheme="majorBidi"/>
              </w:rPr>
              <w:t xml:space="preserve">-induced osteoporosis. </w:t>
            </w:r>
          </w:p>
          <w:p w:rsidR="00C579D1" w:rsidRPr="00510BF4" w:rsidRDefault="00C579D1" w:rsidP="00510BF4">
            <w:pPr>
              <w:numPr>
                <w:ilvl w:val="0"/>
                <w:numId w:val="6"/>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They are under investigation for the treatment of cancer metastases in bone</w:t>
            </w:r>
          </w:p>
        </w:tc>
      </w:tr>
      <w:tr w:rsidR="00C579D1" w:rsidRPr="00510BF4" w:rsidTr="00BD7FF7">
        <w:tblPrEx>
          <w:jc w:val="left"/>
        </w:tblPrEx>
        <w:trPr>
          <w:tblCellSpacing w:w="0" w:type="dxa"/>
        </w:trPr>
        <w:tc>
          <w:tcPr>
            <w:tcW w:w="5000" w:type="pct"/>
            <w:gridSpan w:val="2"/>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u w:val="single"/>
              </w:rPr>
            </w:pPr>
            <w:bookmarkStart w:id="55" w:name="HC031023"/>
            <w:bookmarkEnd w:id="55"/>
            <w:r w:rsidRPr="00D568A0">
              <w:rPr>
                <w:rFonts w:asciiTheme="majorBidi" w:eastAsia="Times New Roman" w:hAnsiTheme="majorBidi" w:cstheme="majorBidi"/>
                <w:b/>
                <w:bCs/>
                <w:u w:val="single"/>
              </w:rPr>
              <w:t xml:space="preserve">OESTROGENS AND RELATED COMPOUNDS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BD7FF7">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56" w:name="P031049"/>
            <w:bookmarkEnd w:id="56"/>
            <w:r w:rsidRPr="00510BF4">
              <w:rPr>
                <w:rFonts w:asciiTheme="majorBidi" w:eastAsia="Times New Roman" w:hAnsiTheme="majorBidi" w:cstheme="majorBidi"/>
              </w:rPr>
              <w:t xml:space="preserve">The decline in </w:t>
            </w:r>
            <w:proofErr w:type="spellStart"/>
            <w:r w:rsidRPr="00510BF4">
              <w:rPr>
                <w:rFonts w:asciiTheme="majorBidi" w:eastAsia="Times New Roman" w:hAnsiTheme="majorBidi" w:cstheme="majorBidi"/>
              </w:rPr>
              <w:t>oestrogen</w:t>
            </w:r>
            <w:proofErr w:type="spellEnd"/>
            <w:r w:rsidRPr="00510BF4">
              <w:rPr>
                <w:rFonts w:asciiTheme="majorBidi" w:eastAsia="Times New Roman" w:hAnsiTheme="majorBidi" w:cstheme="majorBidi"/>
              </w:rPr>
              <w:t xml:space="preserve"> levels is a major factor in postmenopausal osteoporosis, and there is evidence that giving hormone replacement therapy can ameliorate this condition. But HRT has actions on many systems, and newer non-hormonal agents have now been developed that exhibit agonist actions on some tissues and antagonist actions on others. These are termed selective </w:t>
            </w:r>
            <w:proofErr w:type="spellStart"/>
            <w:r w:rsidRPr="00510BF4">
              <w:rPr>
                <w:rFonts w:asciiTheme="majorBidi" w:eastAsia="Times New Roman" w:hAnsiTheme="majorBidi" w:cstheme="majorBidi"/>
              </w:rPr>
              <w:t>oestrogen</w:t>
            </w:r>
            <w:proofErr w:type="spellEnd"/>
            <w:r w:rsidRPr="00510BF4">
              <w:rPr>
                <w:rFonts w:asciiTheme="majorBidi" w:eastAsia="Times New Roman" w:hAnsiTheme="majorBidi" w:cstheme="majorBidi"/>
              </w:rPr>
              <w:t xml:space="preserve"> receptor modulators (SERMS). </w:t>
            </w:r>
            <w:proofErr w:type="spellStart"/>
            <w:r w:rsidRPr="00510BF4">
              <w:rPr>
                <w:rFonts w:asciiTheme="majorBidi" w:eastAsia="Times New Roman" w:hAnsiTheme="majorBidi" w:cstheme="majorBidi"/>
              </w:rPr>
              <w:t>Raloxifene</w:t>
            </w:r>
            <w:proofErr w:type="spellEnd"/>
            <w:r w:rsidRPr="00510BF4">
              <w:rPr>
                <w:rFonts w:asciiTheme="majorBidi" w:eastAsia="Times New Roman" w:hAnsiTheme="majorBidi" w:cstheme="majorBidi"/>
              </w:rPr>
              <w:t xml:space="preserve"> is a SERM that has agonist activity on bone and the cardiovascular system, and antagonist activity on mammary tissue and the uterus.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567" w:type="dxa"/>
        <w:tblCellMar>
          <w:left w:w="0" w:type="dxa"/>
          <w:right w:w="0" w:type="dxa"/>
        </w:tblCellMar>
        <w:tblLook w:val="04A0"/>
      </w:tblPr>
      <w:tblGrid>
        <w:gridCol w:w="8306"/>
      </w:tblGrid>
      <w:tr w:rsidR="00C579D1" w:rsidRPr="00510BF4" w:rsidT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57" w:name="HC031024"/>
            <w:bookmarkEnd w:id="57"/>
            <w:r w:rsidRPr="00D568A0">
              <w:rPr>
                <w:rFonts w:asciiTheme="majorBidi" w:eastAsia="Times New Roman" w:hAnsiTheme="majorBidi" w:cstheme="majorBidi"/>
                <w:b/>
                <w:bCs/>
              </w:rPr>
              <w:t xml:space="preserve">RALOXIFENE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jc w:val="center"/>
        <w:tblCellSpacing w:w="0" w:type="dxa"/>
        <w:tblInd w:w="-2836" w:type="dxa"/>
        <w:tblCellMar>
          <w:left w:w="0" w:type="dxa"/>
          <w:right w:w="0" w:type="dxa"/>
        </w:tblCellMar>
        <w:tblLook w:val="04A0"/>
      </w:tblPr>
      <w:tblGrid>
        <w:gridCol w:w="8306"/>
      </w:tblGrid>
      <w:tr w:rsidR="00C579D1" w:rsidRPr="00510BF4" w:rsidTr="00510BF4">
        <w:trPr>
          <w:tblCellSpacing w:w="0" w:type="dxa"/>
          <w:jc w:val="center"/>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8" w:name="HC031025"/>
            <w:bookmarkEnd w:id="58"/>
            <w:r w:rsidRPr="00510BF4">
              <w:rPr>
                <w:rFonts w:asciiTheme="majorBidi" w:eastAsia="Times New Roman" w:hAnsiTheme="majorBidi" w:cstheme="majorBidi"/>
              </w:rPr>
              <w:t xml:space="preserve">Actions and mechanism of action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059" w:type="pct"/>
        <w:tblCellSpacing w:w="0" w:type="dxa"/>
        <w:tblInd w:w="-709" w:type="dxa"/>
        <w:tblCellMar>
          <w:left w:w="0" w:type="dxa"/>
          <w:right w:w="0" w:type="dxa"/>
        </w:tblCellMar>
        <w:tblLook w:val="04A0"/>
      </w:tblPr>
      <w:tblGrid>
        <w:gridCol w:w="10065"/>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59" w:name="P031050"/>
            <w:bookmarkEnd w:id="59"/>
            <w:proofErr w:type="spellStart"/>
            <w:r w:rsidRPr="00510BF4">
              <w:rPr>
                <w:rFonts w:asciiTheme="majorBidi" w:eastAsia="Times New Roman" w:hAnsiTheme="majorBidi" w:cstheme="majorBidi"/>
              </w:rPr>
              <w:t>Raloxifene</w:t>
            </w:r>
            <w:proofErr w:type="spellEnd"/>
            <w:r w:rsidRPr="00510BF4">
              <w:rPr>
                <w:rFonts w:asciiTheme="majorBidi" w:eastAsia="Times New Roman" w:hAnsiTheme="majorBidi" w:cstheme="majorBidi"/>
              </w:rPr>
              <w:t xml:space="preserve"> produces a dose-dependent increase in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activity and reduction in </w:t>
            </w:r>
            <w:proofErr w:type="spellStart"/>
            <w:r w:rsidRPr="00510BF4">
              <w:rPr>
                <w:rFonts w:asciiTheme="majorBidi" w:eastAsia="Times New Roman" w:hAnsiTheme="majorBidi" w:cstheme="majorBidi"/>
              </w:rPr>
              <w:t>osteoclast</w:t>
            </w:r>
            <w:proofErr w:type="spellEnd"/>
            <w:r w:rsidRPr="00510BF4">
              <w:rPr>
                <w:rFonts w:asciiTheme="majorBidi" w:eastAsia="Times New Roman" w:hAnsiTheme="majorBidi" w:cstheme="majorBidi"/>
              </w:rPr>
              <w:t xml:space="preserve"> action.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tblCellSpacing w:w="0" w:type="dxa"/>
        <w:tblInd w:w="-993" w:type="dxa"/>
        <w:tblCellMar>
          <w:left w:w="0" w:type="dxa"/>
          <w:right w:w="0" w:type="dxa"/>
        </w:tblCellMar>
        <w:tblLook w:val="04A0"/>
      </w:tblPr>
      <w:tblGrid>
        <w:gridCol w:w="10206"/>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0" w:name="P031051"/>
            <w:bookmarkEnd w:id="60"/>
            <w:r w:rsidRPr="00510BF4">
              <w:rPr>
                <w:rFonts w:asciiTheme="majorBidi" w:eastAsia="Times New Roman" w:hAnsiTheme="majorBidi" w:cstheme="majorBidi"/>
              </w:rPr>
              <w:t xml:space="preserve">It is well absorbed in the gastrointestinal tract, and undergoes extensive first-pass metabolism in the liver to give the </w:t>
            </w:r>
            <w:proofErr w:type="spellStart"/>
            <w:r w:rsidRPr="00510BF4">
              <w:rPr>
                <w:rFonts w:asciiTheme="majorBidi" w:eastAsia="Times New Roman" w:hAnsiTheme="majorBidi" w:cstheme="majorBidi"/>
              </w:rPr>
              <w:t>glucuronide</w:t>
            </w:r>
            <w:proofErr w:type="spellEnd"/>
            <w:r w:rsidRPr="00510BF4">
              <w:rPr>
                <w:rFonts w:asciiTheme="majorBidi" w:eastAsia="Times New Roman" w:hAnsiTheme="majorBidi" w:cstheme="majorBidi"/>
              </w:rPr>
              <w:t>. (</w:t>
            </w:r>
            <w:proofErr w:type="spellStart"/>
            <w:r w:rsidRPr="00510BF4">
              <w:rPr>
                <w:rFonts w:asciiTheme="majorBidi" w:eastAsia="Times New Roman" w:hAnsiTheme="majorBidi" w:cstheme="majorBidi"/>
              </w:rPr>
              <w:t>Colestyramine</w:t>
            </w:r>
            <w:proofErr w:type="spellEnd"/>
            <w:r w:rsidRPr="00510BF4">
              <w:rPr>
                <w:rFonts w:asciiTheme="majorBidi" w:eastAsia="Times New Roman" w:hAnsiTheme="majorBidi" w:cstheme="majorBidi"/>
              </w:rPr>
              <w:t xml:space="preserve">, given with it, reduces the </w:t>
            </w:r>
            <w:proofErr w:type="spellStart"/>
            <w:r w:rsidRPr="00510BF4">
              <w:rPr>
                <w:rFonts w:asciiTheme="majorBidi" w:eastAsia="Times New Roman" w:hAnsiTheme="majorBidi" w:cstheme="majorBidi"/>
              </w:rPr>
              <w:t>enterohepatic</w:t>
            </w:r>
            <w:proofErr w:type="spellEnd"/>
            <w:r w:rsidRPr="00510BF4">
              <w:rPr>
                <w:rFonts w:asciiTheme="majorBidi" w:eastAsia="Times New Roman" w:hAnsiTheme="majorBidi" w:cstheme="majorBidi"/>
              </w:rPr>
              <w:t xml:space="preserve"> cycling of </w:t>
            </w:r>
            <w:proofErr w:type="spellStart"/>
            <w:r w:rsidRPr="00510BF4">
              <w:rPr>
                <w:rFonts w:asciiTheme="majorBidi" w:eastAsia="Times New Roman" w:hAnsiTheme="majorBidi" w:cstheme="majorBidi"/>
              </w:rPr>
              <w:t>raloxifene</w:t>
            </w:r>
            <w:proofErr w:type="spellEnd"/>
            <w:r w:rsidRPr="00510BF4">
              <w:rPr>
                <w:rFonts w:asciiTheme="majorBidi" w:eastAsia="Times New Roman" w:hAnsiTheme="majorBidi" w:cstheme="majorBidi"/>
              </w:rPr>
              <w:t xml:space="preserve"> by </w:t>
            </w:r>
            <w:proofErr w:type="gramStart"/>
            <w:r w:rsidRPr="00510BF4">
              <w:rPr>
                <w:rFonts w:asciiTheme="majorBidi" w:eastAsia="Times New Roman" w:hAnsiTheme="majorBidi" w:cstheme="majorBidi"/>
              </w:rPr>
              <w:t>60%</w:t>
            </w:r>
            <w:proofErr w:type="gram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1" w:name="P031052"/>
            <w:bookmarkEnd w:id="61"/>
            <w:r w:rsidRPr="00510BF4">
              <w:rPr>
                <w:rFonts w:asciiTheme="majorBidi" w:eastAsia="Times New Roman" w:hAnsiTheme="majorBidi" w:cstheme="majorBidi"/>
              </w:rPr>
              <w:t xml:space="preserve">Thus bioavailability is only about 2%. It is widely distributed in the tissues, and is converted to an active metabolite in liver, lungs, bone, spleen, uterus and kidneys. Its half-life averages 32 hours. It is excreted mainly in the </w:t>
            </w:r>
            <w:proofErr w:type="spellStart"/>
            <w:r w:rsidRPr="00510BF4">
              <w:rPr>
                <w:rFonts w:asciiTheme="majorBidi" w:eastAsia="Times New Roman" w:hAnsiTheme="majorBidi" w:cstheme="majorBidi"/>
              </w:rPr>
              <w:t>faeces</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2" w:name="HC031026"/>
            <w:bookmarkEnd w:id="62"/>
            <w:r w:rsidRPr="00510BF4">
              <w:rPr>
                <w:rFonts w:asciiTheme="majorBidi" w:eastAsia="Times New Roman" w:hAnsiTheme="majorBidi" w:cstheme="majorBidi"/>
              </w:rPr>
              <w:t xml:space="preserve">Unwanted effects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tblCellSpacing w:w="0" w:type="dxa"/>
        <w:tblInd w:w="-1134" w:type="dxa"/>
        <w:tblCellMar>
          <w:left w:w="0" w:type="dxa"/>
          <w:right w:w="0" w:type="dxa"/>
        </w:tblCellMar>
        <w:tblLook w:val="04A0"/>
      </w:tblPr>
      <w:tblGrid>
        <w:gridCol w:w="10206"/>
      </w:tblGrid>
      <w:tr w:rsidR="00C579D1" w:rsidRPr="00510BF4" w:rsidTr="00510BF4">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63" w:name="P031053"/>
            <w:bookmarkEnd w:id="63"/>
            <w:r w:rsidRPr="00510BF4">
              <w:rPr>
                <w:rFonts w:asciiTheme="majorBidi" w:eastAsia="Times New Roman" w:hAnsiTheme="majorBidi" w:cstheme="majorBidi"/>
              </w:rPr>
              <w:t xml:space="preserve">Hot flushes and leg cramps are common. In a recent clinical trial, </w:t>
            </w:r>
            <w:proofErr w:type="spellStart"/>
            <w:r w:rsidRPr="00510BF4">
              <w:rPr>
                <w:rFonts w:asciiTheme="majorBidi" w:eastAsia="Times New Roman" w:hAnsiTheme="majorBidi" w:cstheme="majorBidi"/>
              </w:rPr>
              <w:t>raloxifene</w:t>
            </w:r>
            <w:proofErr w:type="spellEnd"/>
            <w:r w:rsidRPr="00510BF4">
              <w:rPr>
                <w:rFonts w:asciiTheme="majorBidi" w:eastAsia="Times New Roman" w:hAnsiTheme="majorBidi" w:cstheme="majorBidi"/>
              </w:rPr>
              <w:t xml:space="preserve"> was found to be associated with venous </w:t>
            </w:r>
            <w:proofErr w:type="spellStart"/>
            <w:r w:rsidRPr="00510BF4">
              <w:rPr>
                <w:rFonts w:asciiTheme="majorBidi" w:eastAsia="Times New Roman" w:hAnsiTheme="majorBidi" w:cstheme="majorBidi"/>
              </w:rPr>
              <w:t>thromboembolism</w:t>
            </w:r>
            <w:proofErr w:type="spellEnd"/>
            <w:r w:rsidRPr="00510BF4">
              <w:rPr>
                <w:rFonts w:asciiTheme="majorBidi" w:eastAsia="Times New Roman" w:hAnsiTheme="majorBidi" w:cstheme="majorBidi"/>
              </w:rPr>
              <w:t xml:space="preserve">; however, other authorities state that there is less risk of this adverse effect in younger patients.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rPr>
            </w:pPr>
            <w:bookmarkStart w:id="64" w:name="HC031027"/>
            <w:bookmarkEnd w:id="64"/>
            <w:r w:rsidRPr="00D568A0">
              <w:rPr>
                <w:rFonts w:asciiTheme="majorBidi" w:eastAsia="Times New Roman" w:hAnsiTheme="majorBidi" w:cstheme="majorBidi"/>
                <w:b/>
                <w:bCs/>
              </w:rPr>
              <w:t xml:space="preserve">PARATHYROID HORMONE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bookmarkStart w:id="65" w:name="P0468"/>
      <w:bookmarkEnd w:id="65"/>
      <w:tr w:rsidR="00C579D1" w:rsidRPr="00510BF4">
        <w:trPr>
          <w:tblCellSpacing w:w="0" w:type="dxa"/>
        </w:trPr>
        <w:tc>
          <w:tcPr>
            <w:tcW w:w="5000" w:type="pct"/>
            <w:shd w:val="clear" w:color="auto" w:fill="EEEEEE"/>
            <w:vAlign w:val="center"/>
            <w:hideMark/>
          </w:tcPr>
          <w:p w:rsidR="00C579D1" w:rsidRPr="00510BF4" w:rsidRDefault="00BC63EC"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fldChar w:fldCharType="begin"/>
            </w:r>
            <w:r w:rsidR="00C579D1" w:rsidRPr="00510BF4">
              <w:rPr>
                <w:rFonts w:asciiTheme="majorBidi" w:eastAsia="Times New Roman" w:hAnsiTheme="majorBidi" w:cstheme="majorBidi"/>
              </w:rPr>
              <w:instrText xml:space="preserve"> INCLUDEPICTURE "mk:@MSITStore:H:\\New%20Folder\\Rand%20&amp;%20Dale's%20Pharmacology%20(Churchill%20Livingstone,%202007).CHM::/www.studentconsult.com/images/pixel.gif" \* MERGEFORMATINET </w:instrText>
            </w:r>
            <w:r w:rsidRPr="00510BF4">
              <w:rPr>
                <w:rFonts w:asciiTheme="majorBidi" w:eastAsia="Times New Roman" w:hAnsiTheme="majorBidi" w:cstheme="majorBidi"/>
              </w:rPr>
              <w:fldChar w:fldCharType="separate"/>
            </w:r>
            <w:r w:rsidRPr="00510BF4">
              <w:rPr>
                <w:rFonts w:asciiTheme="majorBidi" w:eastAsia="Times New Roman" w:hAnsiTheme="majorBidi" w:cstheme="majorBidi"/>
              </w:rPr>
              <w:pict>
                <v:shape id="_x0000_i1041" type="#_x0000_t75" alt="0" style="width:.75pt;height:.75pt"/>
              </w:pict>
            </w:r>
            <w:r w:rsidRPr="00510BF4">
              <w:rPr>
                <w:rFonts w:asciiTheme="majorBidi" w:eastAsia="Times New Roman" w:hAnsiTheme="majorBidi" w:cstheme="majorBidi"/>
              </w:rPr>
              <w:fldChar w:fldCharType="end"/>
            </w:r>
          </w:p>
        </w:tc>
      </w:tr>
      <w:tr w:rsidR="00C579D1" w:rsidRPr="00510BF4">
        <w:trPr>
          <w:tblCellSpacing w:w="0" w:type="dxa"/>
        </w:trPr>
        <w:tc>
          <w:tcPr>
            <w:tcW w:w="5000" w:type="pct"/>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993"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6" w:name="P031054"/>
            <w:bookmarkEnd w:id="66"/>
            <w:r w:rsidRPr="00510BF4">
              <w:rPr>
                <w:rFonts w:asciiTheme="majorBidi" w:eastAsia="Times New Roman" w:hAnsiTheme="majorBidi" w:cstheme="majorBidi"/>
              </w:rPr>
              <w:t xml:space="preserve">Until recently, there had been little or no clinical use for PTH as such, but then it was </w:t>
            </w:r>
            <w:proofErr w:type="spellStart"/>
            <w:r w:rsidRPr="00510BF4">
              <w:rPr>
                <w:rFonts w:asciiTheme="majorBidi" w:eastAsia="Times New Roman" w:hAnsiTheme="majorBidi" w:cstheme="majorBidi"/>
              </w:rPr>
              <w:t>realised</w:t>
            </w:r>
            <w:proofErr w:type="spellEnd"/>
            <w:r w:rsidRPr="00510BF4">
              <w:rPr>
                <w:rFonts w:asciiTheme="majorBidi" w:eastAsia="Times New Roman" w:hAnsiTheme="majorBidi" w:cstheme="majorBidi"/>
              </w:rPr>
              <w:t xml:space="preserve"> that PTH and fragments of PTH paradoxically stimulate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activity and enhance bone formation, and they are now considered to be important compounds in the treatment of osteoporosis (see below). The main compound used is </w:t>
            </w:r>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-the peptide fragment (1-34) of recombinant </w:t>
            </w:r>
            <w:proofErr w:type="spellStart"/>
            <w:r w:rsidRPr="00510BF4">
              <w:rPr>
                <w:rFonts w:asciiTheme="majorBidi" w:eastAsia="Times New Roman" w:hAnsiTheme="majorBidi" w:cstheme="majorBidi"/>
              </w:rPr>
              <w:t>parathormone</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7" w:name="HC031029"/>
            <w:bookmarkEnd w:id="67"/>
            <w:r w:rsidRPr="00510BF4">
              <w:rPr>
                <w:rFonts w:asciiTheme="majorBidi" w:eastAsia="Times New Roman" w:hAnsiTheme="majorBidi" w:cstheme="majorBidi"/>
              </w:rPr>
              <w:t xml:space="preserve">Actions and mechanism of action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8" w:name="P031055"/>
            <w:bookmarkEnd w:id="68"/>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 has anabolic effects on bone. It increases bone mass, structural integrity and bone strength by increasing the number of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and by activating those </w:t>
            </w:r>
            <w:proofErr w:type="spellStart"/>
            <w:r w:rsidRPr="00510BF4">
              <w:rPr>
                <w:rFonts w:asciiTheme="majorBidi" w:eastAsia="Times New Roman" w:hAnsiTheme="majorBidi" w:cstheme="majorBidi"/>
              </w:rPr>
              <w:t>osteoblasts</w:t>
            </w:r>
            <w:proofErr w:type="spellEnd"/>
            <w:r w:rsidRPr="00510BF4">
              <w:rPr>
                <w:rFonts w:asciiTheme="majorBidi" w:eastAsia="Times New Roman" w:hAnsiTheme="majorBidi" w:cstheme="majorBidi"/>
              </w:rPr>
              <w:t xml:space="preserve"> already in bone. It also reduces </w:t>
            </w:r>
            <w:proofErr w:type="spellStart"/>
            <w:r w:rsidRPr="00510BF4">
              <w:rPr>
                <w:rFonts w:asciiTheme="majorBidi" w:eastAsia="Times New Roman" w:hAnsiTheme="majorBidi" w:cstheme="majorBidi"/>
              </w:rPr>
              <w:t>osteoblast</w:t>
            </w:r>
            <w:proofErr w:type="spellEnd"/>
            <w:r w:rsidRPr="00510BF4">
              <w:rPr>
                <w:rFonts w:asciiTheme="majorBidi" w:eastAsia="Times New Roman" w:hAnsiTheme="majorBidi" w:cstheme="majorBidi"/>
              </w:rPr>
              <w:t xml:space="preserve"> apoptosis.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69" w:name="P031056"/>
            <w:bookmarkEnd w:id="69"/>
            <w:r w:rsidRPr="00510BF4">
              <w:rPr>
                <w:rFonts w:asciiTheme="majorBidi" w:eastAsia="Times New Roman" w:hAnsiTheme="majorBidi" w:cstheme="majorBidi"/>
              </w:rPr>
              <w:t xml:space="preserve">It acts on the G-protein-dependent PTH receptor-1 in the membrane of target cells, and its effects are mediated through </w:t>
            </w:r>
            <w:proofErr w:type="spellStart"/>
            <w:r w:rsidRPr="00510BF4">
              <w:rPr>
                <w:rFonts w:asciiTheme="majorBidi" w:eastAsia="Times New Roman" w:hAnsiTheme="majorBidi" w:cstheme="majorBidi"/>
              </w:rPr>
              <w:t>adenylate</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cyclase</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phospholipases</w:t>
            </w:r>
            <w:proofErr w:type="spellEnd"/>
            <w:r w:rsidRPr="00510BF4">
              <w:rPr>
                <w:rFonts w:asciiTheme="majorBidi" w:eastAsia="Times New Roman" w:hAnsiTheme="majorBidi" w:cstheme="majorBidi"/>
              </w:rPr>
              <w:t xml:space="preserve"> A, C and D, and increases in intracellular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and cyclic AMP.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0" w:name="P031057"/>
            <w:bookmarkEnd w:id="70"/>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1" w:name="HC031030"/>
            <w:bookmarkEnd w:id="71"/>
            <w:r w:rsidRPr="00510BF4">
              <w:rPr>
                <w:rFonts w:asciiTheme="majorBidi" w:eastAsia="Times New Roman" w:hAnsiTheme="majorBidi" w:cstheme="majorBidi"/>
              </w:rPr>
              <w:t xml:space="preserve">Pharmacokinetic aspects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2" w:name="P031058"/>
            <w:bookmarkEnd w:id="72"/>
            <w:r w:rsidRPr="00510BF4">
              <w:rPr>
                <w:rFonts w:asciiTheme="majorBidi" w:eastAsia="Times New Roman" w:hAnsiTheme="majorBidi" w:cstheme="majorBidi"/>
              </w:rPr>
              <w:t xml:space="preserve">Given subcutaneously once daily, peak concentrations occur after 30 minutes. The serum distribution half-life is 10 minutes after intravenous injection and 1 hour after subcutaneous injection.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3" w:name="HC031031"/>
            <w:bookmarkEnd w:id="73"/>
            <w:r w:rsidRPr="00510BF4">
              <w:rPr>
                <w:rFonts w:asciiTheme="majorBidi" w:eastAsia="Times New Roman" w:hAnsiTheme="majorBidi" w:cstheme="majorBidi"/>
              </w:rPr>
              <w:t xml:space="preserve">Unwanted effects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tblCellSpacing w:w="0" w:type="dxa"/>
        <w:tblInd w:w="-993" w:type="dxa"/>
        <w:tblCellMar>
          <w:left w:w="0" w:type="dxa"/>
          <w:right w:w="0" w:type="dxa"/>
        </w:tblCellMar>
        <w:tblLook w:val="04A0"/>
      </w:tblPr>
      <w:tblGrid>
        <w:gridCol w:w="10206"/>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4" w:name="P031059"/>
            <w:bookmarkEnd w:id="74"/>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 is well tolerated, and serious adverse effects are few. Nausea, dizziness, headache and </w:t>
            </w:r>
            <w:proofErr w:type="spellStart"/>
            <w:r w:rsidRPr="00510BF4">
              <w:rPr>
                <w:rFonts w:asciiTheme="majorBidi" w:eastAsia="Times New Roman" w:hAnsiTheme="majorBidi" w:cstheme="majorBidi"/>
              </w:rPr>
              <w:t>arthralgias</w:t>
            </w:r>
            <w:proofErr w:type="spellEnd"/>
            <w:r w:rsidRPr="00510BF4">
              <w:rPr>
                <w:rFonts w:asciiTheme="majorBidi" w:eastAsia="Times New Roman" w:hAnsiTheme="majorBidi" w:cstheme="majorBidi"/>
              </w:rPr>
              <w:t xml:space="preserve"> can occur. Mild </w:t>
            </w: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transient orthostatic hypotension, nausea, dizziness, headache and leg cramps have been reported.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5" w:name="HC031032"/>
            <w:bookmarkEnd w:id="75"/>
            <w:r w:rsidRPr="00510BF4">
              <w:rPr>
                <w:rFonts w:asciiTheme="majorBidi" w:eastAsia="Times New Roman" w:hAnsiTheme="majorBidi" w:cstheme="majorBidi"/>
              </w:rPr>
              <w:t xml:space="preserve">Clinical use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76" w:name="P031060"/>
            <w:bookmarkEnd w:id="76"/>
            <w:r w:rsidRPr="00510BF4">
              <w:rPr>
                <w:rFonts w:asciiTheme="majorBidi" w:eastAsia="Times New Roman" w:hAnsiTheme="majorBidi" w:cstheme="majorBidi"/>
              </w:rPr>
              <w:t xml:space="preserve">Note that there is controversy as to whether or not this drug should be given sequentially or in combination with one of the </w:t>
            </w:r>
            <w:proofErr w:type="spellStart"/>
            <w:r w:rsidRPr="00510BF4">
              <w:rPr>
                <w:rFonts w:asciiTheme="majorBidi" w:eastAsia="Times New Roman" w:hAnsiTheme="majorBidi" w:cstheme="majorBidi"/>
              </w:rPr>
              <w:t>bisphosphonates</w:t>
            </w:r>
            <w:proofErr w:type="spellEnd"/>
            <w:r w:rsidRPr="00510BF4">
              <w:rPr>
                <w:rFonts w:asciiTheme="majorBidi" w:eastAsia="Times New Roman" w:hAnsiTheme="majorBidi" w:cstheme="majorBidi"/>
              </w:rPr>
              <w:t xml:space="preserve">; however, a </w:t>
            </w:r>
            <w:proofErr w:type="spellStart"/>
            <w:r w:rsidRPr="00510BF4">
              <w:rPr>
                <w:rFonts w:asciiTheme="majorBidi" w:eastAsia="Times New Roman" w:hAnsiTheme="majorBidi" w:cstheme="majorBidi"/>
              </w:rPr>
              <w:t>bisphosphonate</w:t>
            </w:r>
            <w:proofErr w:type="spellEnd"/>
            <w:r w:rsidRPr="00510BF4">
              <w:rPr>
                <w:rFonts w:asciiTheme="majorBidi" w:eastAsia="Times New Roman" w:hAnsiTheme="majorBidi" w:cstheme="majorBidi"/>
              </w:rPr>
              <w:t xml:space="preserve"> should be given at the end of a course of </w:t>
            </w:r>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 to prevent </w:t>
            </w:r>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 withdrawal bone loss.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993" w:type="dxa"/>
        <w:tblCellMar>
          <w:left w:w="0" w:type="dxa"/>
          <w:right w:w="0" w:type="dxa"/>
        </w:tblCellMar>
        <w:tblLook w:val="04A0"/>
      </w:tblPr>
      <w:tblGrid>
        <w:gridCol w:w="8306"/>
      </w:tblGrid>
      <w:tr w:rsidR="00C579D1" w:rsidRPr="00510BF4" w:rsidTr="00510BF4">
        <w:trPr>
          <w:tblCellSpacing w:w="0" w:type="dxa"/>
        </w:trPr>
        <w:tc>
          <w:tcPr>
            <w:tcW w:w="5000" w:type="pct"/>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rPr>
            </w:pPr>
            <w:bookmarkStart w:id="77" w:name="HC031033"/>
            <w:bookmarkEnd w:id="77"/>
            <w:r w:rsidRPr="00D568A0">
              <w:rPr>
                <w:rFonts w:asciiTheme="majorBidi" w:eastAsia="Times New Roman" w:hAnsiTheme="majorBidi" w:cstheme="majorBidi"/>
                <w:b/>
                <w:bCs/>
              </w:rPr>
              <w:t xml:space="preserve">STRONTIUM RANELATE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8" w:name="P031061"/>
            <w:bookmarkEnd w:id="78"/>
            <w:r w:rsidRPr="00510BF4">
              <w:rPr>
                <w:rFonts w:asciiTheme="majorBidi" w:eastAsia="Times New Roman" w:hAnsiTheme="majorBidi" w:cstheme="majorBidi"/>
              </w:rPr>
              <w:t xml:space="preserve">This compound, newly introduced for treatment of osteoporosis, is composed of two atoms of strontium combined with organic </w:t>
            </w:r>
            <w:proofErr w:type="spellStart"/>
            <w:r w:rsidRPr="00510BF4">
              <w:rPr>
                <w:rFonts w:asciiTheme="majorBidi" w:eastAsia="Times New Roman" w:hAnsiTheme="majorBidi" w:cstheme="majorBidi"/>
              </w:rPr>
              <w:t>ranelic</w:t>
            </w:r>
            <w:proofErr w:type="spellEnd"/>
            <w:r w:rsidRPr="00510BF4">
              <w:rPr>
                <w:rFonts w:asciiTheme="majorBidi" w:eastAsia="Times New Roman" w:hAnsiTheme="majorBidi" w:cstheme="majorBidi"/>
              </w:rPr>
              <w:t xml:space="preserve"> acid, the latter being a carrier for the active strontium component. It inhibits bone </w:t>
            </w:r>
            <w:proofErr w:type="spellStart"/>
            <w:r w:rsidRPr="00510BF4">
              <w:rPr>
                <w:rFonts w:asciiTheme="majorBidi" w:eastAsia="Times New Roman" w:hAnsiTheme="majorBidi" w:cstheme="majorBidi"/>
              </w:rPr>
              <w:t>resorption</w:t>
            </w:r>
            <w:proofErr w:type="spellEnd"/>
            <w:r w:rsidRPr="00510BF4">
              <w:rPr>
                <w:rFonts w:asciiTheme="majorBidi" w:eastAsia="Times New Roman" w:hAnsiTheme="majorBidi" w:cstheme="majorBidi"/>
              </w:rPr>
              <w:t xml:space="preserve"> and also stimulates bone formation. In recent trials, it has been shown to be effective in preventing vertebral and non-vertebral fractures in older women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79" w:name="P031062"/>
            <w:bookmarkEnd w:id="79"/>
            <w:r w:rsidRPr="00510BF4">
              <w:rPr>
                <w:rFonts w:asciiTheme="majorBidi" w:eastAsia="Times New Roman" w:hAnsiTheme="majorBidi" w:cstheme="majorBidi"/>
              </w:rPr>
              <w:t xml:space="preserve">The precise mechanism of action is not clear. Strontium is similar to calcium as regards its absorption in the gastrointestinal tract, its incorporation into bone and its renal elimination. Strontium atoms are adsorbed on to the </w:t>
            </w:r>
            <w:proofErr w:type="spellStart"/>
            <w:r w:rsidRPr="00510BF4">
              <w:rPr>
                <w:rFonts w:asciiTheme="majorBidi" w:eastAsia="Times New Roman" w:hAnsiTheme="majorBidi" w:cstheme="majorBidi"/>
              </w:rPr>
              <w:t>hydroxyapatite</w:t>
            </w:r>
            <w:proofErr w:type="spellEnd"/>
            <w:r w:rsidRPr="00510BF4">
              <w:rPr>
                <w:rFonts w:asciiTheme="majorBidi" w:eastAsia="Times New Roman" w:hAnsiTheme="majorBidi" w:cstheme="majorBidi"/>
              </w:rPr>
              <w:t xml:space="preserve"> crystals, but eventually they exchange for calcium in the bone minerals and remain in the bone for many years.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80" w:name="P031063"/>
            <w:bookmarkEnd w:id="80"/>
            <w:r w:rsidRPr="00510BF4">
              <w:rPr>
                <w:rFonts w:asciiTheme="majorBidi" w:eastAsia="Times New Roman" w:hAnsiTheme="majorBidi" w:cstheme="majorBidi"/>
              </w:rPr>
              <w:t xml:space="preserve">The drug is well tolerated; a low incidence of nausea and </w:t>
            </w:r>
            <w:proofErr w:type="spellStart"/>
            <w:r w:rsidRPr="00510BF4">
              <w:rPr>
                <w:rFonts w:asciiTheme="majorBidi" w:eastAsia="Times New Roman" w:hAnsiTheme="majorBidi" w:cstheme="majorBidi"/>
              </w:rPr>
              <w:t>diarrhoea</w:t>
            </w:r>
            <w:proofErr w:type="spellEnd"/>
            <w:r w:rsidRPr="00510BF4">
              <w:rPr>
                <w:rFonts w:asciiTheme="majorBidi" w:eastAsia="Times New Roman" w:hAnsiTheme="majorBidi" w:cstheme="majorBidi"/>
              </w:rPr>
              <w:t xml:space="preserve"> is reported.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983" w:type="dxa"/>
        <w:tblCellMar>
          <w:left w:w="0" w:type="dxa"/>
          <w:right w:w="0" w:type="dxa"/>
        </w:tblCellMar>
        <w:tblLook w:val="04A0"/>
      </w:tblPr>
      <w:tblGrid>
        <w:gridCol w:w="8326"/>
      </w:tblGrid>
      <w:tr w:rsidR="00C579D1" w:rsidRPr="00510BF4" w:rsidTr="00510BF4">
        <w:trPr>
          <w:tblCellSpacing w:w="0" w:type="dxa"/>
        </w:trPr>
        <w:tc>
          <w:tcPr>
            <w:tcW w:w="5000" w:type="pct"/>
            <w:tcBorders>
              <w:left w:val="single" w:sz="4" w:space="0" w:color="auto"/>
              <w:right w:val="single" w:sz="4" w:space="0" w:color="auto"/>
            </w:tcBorders>
            <w:shd w:val="clear" w:color="auto" w:fill="FFFFFF"/>
            <w:vAlign w:val="center"/>
            <w:hideMark/>
          </w:tcPr>
          <w:p w:rsidR="00970623" w:rsidRPr="00D568A0" w:rsidRDefault="00C579D1" w:rsidP="00510BF4">
            <w:pPr>
              <w:bidi w:val="0"/>
              <w:spacing w:after="0" w:line="240" w:lineRule="auto"/>
              <w:jc w:val="both"/>
              <w:rPr>
                <w:rFonts w:asciiTheme="majorBidi" w:eastAsia="Times New Roman" w:hAnsiTheme="majorBidi" w:cstheme="majorBidi"/>
                <w:b/>
                <w:bCs/>
              </w:rPr>
            </w:pPr>
            <w:bookmarkStart w:id="81" w:name="HC031034"/>
            <w:bookmarkEnd w:id="81"/>
            <w:r w:rsidRPr="00D568A0">
              <w:rPr>
                <w:rFonts w:asciiTheme="majorBidi" w:eastAsia="Times New Roman" w:hAnsiTheme="majorBidi" w:cstheme="majorBidi"/>
                <w:b/>
                <w:bCs/>
              </w:rPr>
              <w:t xml:space="preserve">VITAMIN D PREPARATIONS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2" w:name="P031064"/>
            <w:bookmarkEnd w:id="82"/>
            <w:r w:rsidRPr="00510BF4">
              <w:rPr>
                <w:rFonts w:asciiTheme="majorBidi" w:eastAsia="Times New Roman" w:hAnsiTheme="majorBidi" w:cstheme="majorBidi"/>
              </w:rPr>
              <w:t xml:space="preserve">Vitamin D preparations are used in the treatment of vitamin D deficiencies, bone problems associated with renal failure, and </w:t>
            </w:r>
            <w:proofErr w:type="spellStart"/>
            <w:r w:rsidRPr="00510BF4">
              <w:rPr>
                <w:rFonts w:asciiTheme="majorBidi" w:eastAsia="Times New Roman" w:hAnsiTheme="majorBidi" w:cstheme="majorBidi"/>
              </w:rPr>
              <w:t>hypoparathyroidism</w:t>
            </w:r>
            <w:proofErr w:type="spellEnd"/>
            <w:r w:rsidRPr="00510BF4">
              <w:rPr>
                <w:rFonts w:asciiTheme="majorBidi" w:eastAsia="Times New Roman" w:hAnsiTheme="majorBidi" w:cstheme="majorBidi"/>
              </w:rPr>
              <w:t xml:space="preserve">-acute </w:t>
            </w:r>
            <w:proofErr w:type="spellStart"/>
            <w:r w:rsidRPr="00510BF4">
              <w:rPr>
                <w:rFonts w:asciiTheme="majorBidi" w:eastAsia="Times New Roman" w:hAnsiTheme="majorBidi" w:cstheme="majorBidi"/>
              </w:rPr>
              <w:t>hypoparathyroidism</w:t>
            </w:r>
            <w:proofErr w:type="spellEnd"/>
            <w:r w:rsidRPr="00510BF4">
              <w:rPr>
                <w:rFonts w:asciiTheme="majorBidi" w:eastAsia="Times New Roman" w:hAnsiTheme="majorBidi" w:cstheme="majorBidi"/>
              </w:rPr>
              <w:t xml:space="preserve"> necessitating the use of intravenous calcium and </w:t>
            </w:r>
            <w:proofErr w:type="spellStart"/>
            <w:r w:rsidRPr="00510BF4">
              <w:rPr>
                <w:rFonts w:asciiTheme="majorBidi" w:eastAsia="Times New Roman" w:hAnsiTheme="majorBidi" w:cstheme="majorBidi"/>
              </w:rPr>
              <w:t>injectable</w:t>
            </w:r>
            <w:proofErr w:type="spellEnd"/>
            <w:r w:rsidRPr="00510BF4">
              <w:rPr>
                <w:rFonts w:asciiTheme="majorBidi" w:eastAsia="Times New Roman" w:hAnsiTheme="majorBidi" w:cstheme="majorBidi"/>
              </w:rPr>
              <w:t xml:space="preserve"> vitamin D preparations.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3" w:name="P031065"/>
            <w:bookmarkEnd w:id="83"/>
            <w:r w:rsidRPr="00510BF4">
              <w:rPr>
                <w:rFonts w:asciiTheme="majorBidi" w:eastAsia="Times New Roman" w:hAnsiTheme="majorBidi" w:cstheme="majorBidi"/>
              </w:rPr>
              <w:t xml:space="preserve">The main vitamin D preparation used clinically is </w:t>
            </w:r>
            <w:hyperlink r:id="rId25" w:tooltip="View drug information" w:history="1">
              <w:proofErr w:type="spellStart"/>
              <w:r w:rsidRPr="00510BF4">
                <w:rPr>
                  <w:rFonts w:asciiTheme="majorBidi" w:eastAsia="Times New Roman" w:hAnsiTheme="majorBidi" w:cstheme="majorBidi"/>
                  <w:u w:val="single"/>
                </w:rPr>
                <w:t>ergocalciferol</w:t>
              </w:r>
              <w:proofErr w:type="spellEnd"/>
              <w:r w:rsidR="00BC63EC" w:rsidRPr="00510BF4">
                <w:rPr>
                  <w:rFonts w:asciiTheme="majorBidi" w:eastAsia="Times New Roman" w:hAnsiTheme="majorBidi" w:cstheme="majorBidi"/>
                </w:rPr>
                <w:pict>
                  <v:shape id="_x0000_i1042"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also available for clinical use are </w:t>
            </w:r>
            <w:proofErr w:type="spellStart"/>
            <w:r w:rsidRPr="00510BF4">
              <w:rPr>
                <w:rFonts w:asciiTheme="majorBidi" w:eastAsia="Times New Roman" w:hAnsiTheme="majorBidi" w:cstheme="majorBidi"/>
              </w:rPr>
              <w:t>alfacalcidol</w:t>
            </w:r>
            <w:proofErr w:type="spellEnd"/>
            <w:r w:rsidRPr="00510BF4">
              <w:rPr>
                <w:rFonts w:asciiTheme="majorBidi" w:eastAsia="Times New Roman" w:hAnsiTheme="majorBidi" w:cstheme="majorBidi"/>
              </w:rPr>
              <w:t xml:space="preserve"> and </w:t>
            </w:r>
            <w:hyperlink r:id="rId26"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43"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All can be given orally and are well absorbed from the intestine. Vitamin D preparations are fat-soluble, and bile salts are necessary for absorption. </w:t>
            </w:r>
            <w:proofErr w:type="spellStart"/>
            <w:r w:rsidRPr="00510BF4">
              <w:rPr>
                <w:rFonts w:asciiTheme="majorBidi" w:eastAsia="Times New Roman" w:hAnsiTheme="majorBidi" w:cstheme="majorBidi"/>
              </w:rPr>
              <w:t>Injectable</w:t>
            </w:r>
            <w:proofErr w:type="spellEnd"/>
            <w:r w:rsidRPr="00510BF4">
              <w:rPr>
                <w:rFonts w:asciiTheme="majorBidi" w:eastAsia="Times New Roman" w:hAnsiTheme="majorBidi" w:cstheme="majorBidi"/>
              </w:rPr>
              <w:t xml:space="preserve"> forms of </w:t>
            </w:r>
            <w:proofErr w:type="spellStart"/>
            <w:r w:rsidRPr="00510BF4">
              <w:rPr>
                <w:rFonts w:asciiTheme="majorBidi" w:eastAsia="Times New Roman" w:hAnsiTheme="majorBidi" w:cstheme="majorBidi"/>
              </w:rPr>
              <w:t>calciferol</w:t>
            </w:r>
            <w:proofErr w:type="spellEnd"/>
            <w:r w:rsidRPr="00510BF4">
              <w:rPr>
                <w:rFonts w:asciiTheme="majorBidi" w:eastAsia="Times New Roman" w:hAnsiTheme="majorBidi" w:cstheme="majorBidi"/>
              </w:rPr>
              <w:t xml:space="preserve"> are available. Newer vitamin D analogues with less potential to cause </w:t>
            </w: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are the vitamin D sterols 19-nor-paracalcitol and </w:t>
            </w:r>
            <w:hyperlink r:id="rId27" w:tooltip="View drug information" w:history="1">
              <w:proofErr w:type="spellStart"/>
              <w:r w:rsidRPr="00510BF4">
                <w:rPr>
                  <w:rFonts w:asciiTheme="majorBidi" w:eastAsia="Times New Roman" w:hAnsiTheme="majorBidi" w:cstheme="majorBidi"/>
                  <w:u w:val="single"/>
                </w:rPr>
                <w:t>doxercalciferol</w:t>
              </w:r>
              <w:proofErr w:type="spellEnd"/>
              <w:r w:rsidR="00BC63EC" w:rsidRPr="00510BF4">
                <w:rPr>
                  <w:rFonts w:asciiTheme="majorBidi" w:eastAsia="Times New Roman" w:hAnsiTheme="majorBidi" w:cstheme="majorBidi"/>
                </w:rPr>
                <w:pict>
                  <v:shape id="_x0000_i1044"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993" w:type="dxa"/>
        <w:tblCellMar>
          <w:left w:w="0" w:type="dxa"/>
          <w:right w:w="0" w:type="dxa"/>
        </w:tblCellMar>
        <w:tblLook w:val="04A0"/>
      </w:tblPr>
      <w:tblGrid>
        <w:gridCol w:w="8306"/>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4" w:name="HC031036"/>
            <w:bookmarkEnd w:id="84"/>
            <w:r w:rsidRPr="00510BF4">
              <w:rPr>
                <w:rFonts w:asciiTheme="majorBidi" w:eastAsia="Times New Roman" w:hAnsiTheme="majorBidi" w:cstheme="majorBidi"/>
              </w:rPr>
              <w:t xml:space="preserve">Pharmacokinetic aspects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30" w:type="pct"/>
        <w:tblCellSpacing w:w="0" w:type="dxa"/>
        <w:tblInd w:w="-993" w:type="dxa"/>
        <w:tblCellMar>
          <w:left w:w="0" w:type="dxa"/>
          <w:right w:w="0" w:type="dxa"/>
        </w:tblCellMar>
        <w:tblLook w:val="04A0"/>
      </w:tblPr>
      <w:tblGrid>
        <w:gridCol w:w="10349"/>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5" w:name="P031066"/>
            <w:bookmarkEnd w:id="85"/>
            <w:r w:rsidRPr="00510BF4">
              <w:rPr>
                <w:rFonts w:asciiTheme="majorBidi" w:eastAsia="Times New Roman" w:hAnsiTheme="majorBidi" w:cstheme="majorBidi"/>
              </w:rPr>
              <w:t xml:space="preserve">Given orally, vitamin D is bound to a specific α-globulin in the blood. The plasma half-life is about 22 hours, but vitamin D can be found in the fat for many months. The main route of elimination is in the </w:t>
            </w:r>
            <w:proofErr w:type="spellStart"/>
            <w:r w:rsidRPr="00510BF4">
              <w:rPr>
                <w:rFonts w:asciiTheme="majorBidi" w:eastAsia="Times New Roman" w:hAnsiTheme="majorBidi" w:cstheme="majorBidi"/>
              </w:rPr>
              <w:t>faeces</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974" w:type="pct"/>
        <w:tblCellSpacing w:w="0" w:type="dxa"/>
        <w:tblInd w:w="-993" w:type="dxa"/>
        <w:tblCellMar>
          <w:left w:w="0" w:type="dxa"/>
          <w:right w:w="0" w:type="dxa"/>
        </w:tblCellMar>
        <w:tblLook w:val="04A0"/>
      </w:tblPr>
      <w:tblGrid>
        <w:gridCol w:w="9924"/>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6" w:name="P031067"/>
            <w:bookmarkEnd w:id="86"/>
            <w:r w:rsidRPr="00510BF4">
              <w:rPr>
                <w:rFonts w:asciiTheme="majorBidi" w:eastAsia="Times New Roman" w:hAnsiTheme="majorBidi" w:cstheme="majorBidi"/>
              </w:rPr>
              <w:t xml:space="preserve">The clinical use of vitamin D preparations </w:t>
            </w:r>
            <w:r w:rsidR="00E64E17" w:rsidRPr="00510BF4">
              <w:rPr>
                <w:rFonts w:asciiTheme="majorBidi" w:eastAsia="Times New Roman" w:hAnsiTheme="majorBidi" w:cstheme="majorBidi"/>
              </w:rPr>
              <w:t>are:</w:t>
            </w:r>
          </w:p>
          <w:tbl>
            <w:tblPr>
              <w:tblW w:w="4000" w:type="pct"/>
              <w:jc w:val="center"/>
              <w:tblCellSpacing w:w="0" w:type="dxa"/>
              <w:tblCellMar>
                <w:left w:w="0" w:type="dxa"/>
                <w:right w:w="0" w:type="dxa"/>
              </w:tblCellMar>
              <w:tblLook w:val="04A0"/>
            </w:tblPr>
            <w:tblGrid>
              <w:gridCol w:w="7939"/>
            </w:tblGrid>
            <w:tr w:rsidR="00E64E17" w:rsidRPr="00510BF4" w:rsidTr="00BD7FF7">
              <w:trPr>
                <w:tblCellSpacing w:w="0" w:type="dxa"/>
                <w:jc w:val="center"/>
              </w:trPr>
              <w:tc>
                <w:tcPr>
                  <w:tcW w:w="5000" w:type="pct"/>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9924"/>
            </w:tblGrid>
            <w:tr w:rsidR="00E64E17" w:rsidRPr="00510BF4" w:rsidTr="00BD7FF7">
              <w:trPr>
                <w:tblCellSpacing w:w="0" w:type="dxa"/>
              </w:trPr>
              <w:tc>
                <w:tcPr>
                  <w:tcW w:w="0" w:type="auto"/>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4000" w:type="pct"/>
              <w:jc w:val="center"/>
              <w:tblCellSpacing w:w="0" w:type="dxa"/>
              <w:tblCellMar>
                <w:left w:w="0" w:type="dxa"/>
                <w:right w:w="0" w:type="dxa"/>
              </w:tblCellMar>
              <w:tblLook w:val="04A0"/>
            </w:tblPr>
            <w:tblGrid>
              <w:gridCol w:w="7939"/>
            </w:tblGrid>
            <w:tr w:rsidR="00E64E17" w:rsidRPr="00510BF4" w:rsidTr="00BD7FF7">
              <w:trPr>
                <w:tblCellSpacing w:w="0" w:type="dxa"/>
                <w:jc w:val="center"/>
              </w:trPr>
              <w:tc>
                <w:tcPr>
                  <w:tcW w:w="5000" w:type="pct"/>
                  <w:vAlign w:val="center"/>
                  <w:hideMark/>
                </w:tcPr>
                <w:p w:rsidR="00E64E17" w:rsidRPr="00510BF4" w:rsidRDefault="00E64E17" w:rsidP="00510BF4">
                  <w:pPr>
                    <w:numPr>
                      <w:ilvl w:val="0"/>
                      <w:numId w:val="7"/>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Deficiency states: prevention and treatment of rickets, </w:t>
                  </w:r>
                  <w:proofErr w:type="spellStart"/>
                  <w:r w:rsidRPr="00510BF4">
                    <w:rPr>
                      <w:rFonts w:asciiTheme="majorBidi" w:eastAsia="Times New Roman" w:hAnsiTheme="majorBidi" w:cstheme="majorBidi"/>
                    </w:rPr>
                    <w:t>osteomalacia</w:t>
                  </w:r>
                  <w:proofErr w:type="spellEnd"/>
                  <w:r w:rsidRPr="00510BF4">
                    <w:rPr>
                      <w:rFonts w:asciiTheme="majorBidi" w:eastAsia="Times New Roman" w:hAnsiTheme="majorBidi" w:cstheme="majorBidi"/>
                    </w:rPr>
                    <w:t xml:space="preserve"> and vitamin D deficiency owing to </w:t>
                  </w:r>
                  <w:proofErr w:type="spellStart"/>
                  <w:r w:rsidRPr="00510BF4">
                    <w:rPr>
                      <w:rFonts w:asciiTheme="majorBidi" w:eastAsia="Times New Roman" w:hAnsiTheme="majorBidi" w:cstheme="majorBidi"/>
                    </w:rPr>
                    <w:t>malabsorption</w:t>
                  </w:r>
                  <w:proofErr w:type="spellEnd"/>
                  <w:r w:rsidRPr="00510BF4">
                    <w:rPr>
                      <w:rFonts w:asciiTheme="majorBidi" w:eastAsia="Times New Roman" w:hAnsiTheme="majorBidi" w:cstheme="majorBidi"/>
                    </w:rPr>
                    <w:t xml:space="preserve"> and liver disease (</w:t>
                  </w:r>
                  <w:proofErr w:type="spellStart"/>
                  <w:r w:rsidR="00BC63EC" w:rsidRPr="00510BF4">
                    <w:rPr>
                      <w:rFonts w:asciiTheme="majorBidi" w:hAnsiTheme="majorBidi" w:cstheme="majorBidi"/>
                    </w:rPr>
                    <w:fldChar w:fldCharType="begin"/>
                  </w:r>
                  <w:r w:rsidR="00A600AB" w:rsidRPr="00510BF4">
                    <w:rPr>
                      <w:rFonts w:asciiTheme="majorBidi" w:hAnsiTheme="majorBidi" w:cstheme="majorBidi"/>
                    </w:rPr>
                    <w:instrText>HYPERLINK "mk:@MSITStore:H:\\New%20Folder\\Rand%20&amp;%20Dale's%20Pharmacology%20(Churchill%20Livingstone,%202007).CHM::/www.studentconsult.com/content/bookcontent.cfm@id=hc031018.htm" \o "View drug information"</w:instrText>
                  </w:r>
                  <w:r w:rsidR="00BC63EC" w:rsidRPr="00510BF4">
                    <w:rPr>
                      <w:rFonts w:asciiTheme="majorBidi" w:hAnsiTheme="majorBidi" w:cstheme="majorBidi"/>
                    </w:rPr>
                    <w:fldChar w:fldCharType="separate"/>
                  </w:r>
                  <w:r w:rsidRPr="00510BF4">
                    <w:rPr>
                      <w:rFonts w:asciiTheme="majorBidi" w:eastAsia="Times New Roman" w:hAnsiTheme="majorBidi" w:cstheme="majorBidi"/>
                      <w:u w:val="single"/>
                    </w:rPr>
                    <w:t>ergocalciferol</w:t>
                  </w:r>
                  <w:proofErr w:type="spellEnd"/>
                  <w:r w:rsidR="00BC63EC" w:rsidRPr="00510BF4">
                    <w:rPr>
                      <w:rFonts w:asciiTheme="majorBidi" w:eastAsia="Times New Roman" w:hAnsiTheme="majorBidi" w:cstheme="majorBidi"/>
                    </w:rPr>
                    <w:pict>
                      <v:shape id="_x0000_i1045" type="#_x0000_t75" alt="View drug information" href="mk:@MSITStore:H:\New%20Folder\Rand%20&amp;%20Dale's%20Pharmacology%20(Churchill%20Livingstone,%202007).CHM::/www.studentconsult.com/content/bookcontent.cfm@id=hc031018.htm" title="&quot;View drug information&quot;" style="width:6.75pt;height:9pt" o:button="t"/>
                    </w:pict>
                  </w:r>
                  <w:r w:rsidR="00BC63EC" w:rsidRPr="00510BF4">
                    <w:rPr>
                      <w:rFonts w:asciiTheme="majorBidi" w:hAnsiTheme="majorBidi" w:cstheme="majorBidi"/>
                    </w:rPr>
                    <w:fldChar w:fldCharType="end"/>
                  </w:r>
                  <w:r w:rsidRPr="00510BF4">
                    <w:rPr>
                      <w:rFonts w:asciiTheme="majorBidi" w:eastAsia="Times New Roman" w:hAnsiTheme="majorBidi" w:cstheme="majorBidi"/>
                    </w:rPr>
                    <w:t xml:space="preserve">). </w:t>
                  </w:r>
                </w:p>
                <w:p w:rsidR="00E64E17" w:rsidRPr="00510BF4" w:rsidRDefault="00E64E17" w:rsidP="00510BF4">
                  <w:pPr>
                    <w:numPr>
                      <w:ilvl w:val="0"/>
                      <w:numId w:val="7"/>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Hypocalcaemia caused by </w:t>
                  </w:r>
                  <w:proofErr w:type="spellStart"/>
                  <w:r w:rsidRPr="00510BF4">
                    <w:rPr>
                      <w:rFonts w:asciiTheme="majorBidi" w:eastAsia="Times New Roman" w:hAnsiTheme="majorBidi" w:cstheme="majorBidi"/>
                    </w:rPr>
                    <w:t>hypoparathyroidism</w:t>
                  </w:r>
                  <w:proofErr w:type="spellEnd"/>
                  <w:r w:rsidRPr="00510BF4">
                    <w:rPr>
                      <w:rFonts w:asciiTheme="majorBidi" w:eastAsia="Times New Roman" w:hAnsiTheme="majorBidi" w:cstheme="majorBidi"/>
                    </w:rPr>
                    <w:t xml:space="preserve"> (</w:t>
                  </w:r>
                  <w:proofErr w:type="spellStart"/>
                  <w:r w:rsidR="00BC63EC" w:rsidRPr="00510BF4">
                    <w:rPr>
                      <w:rFonts w:asciiTheme="majorBidi" w:hAnsiTheme="majorBidi" w:cstheme="majorBidi"/>
                    </w:rPr>
                    <w:fldChar w:fldCharType="begin"/>
                  </w:r>
                  <w:r w:rsidR="00A600AB" w:rsidRPr="00510BF4">
                    <w:rPr>
                      <w:rFonts w:asciiTheme="majorBidi" w:hAnsiTheme="majorBidi" w:cstheme="majorBidi"/>
                    </w:rPr>
                    <w:instrText>HYPERLINK "mk:@MSITStore:H:\\New%20Folder\\Rand%20&amp;%20Dale's%20Pharmacology%20(Churchill%20Livingstone,%202007).CHM::/www.studentconsult.com/content/bookcontent.cfm@id=hc031018.htm" \o "View drug information"</w:instrText>
                  </w:r>
                  <w:r w:rsidR="00BC63EC" w:rsidRPr="00510BF4">
                    <w:rPr>
                      <w:rFonts w:asciiTheme="majorBidi" w:hAnsiTheme="majorBidi" w:cstheme="majorBidi"/>
                    </w:rPr>
                    <w:fldChar w:fldCharType="separate"/>
                  </w:r>
                  <w:r w:rsidRPr="00510BF4">
                    <w:rPr>
                      <w:rFonts w:asciiTheme="majorBidi" w:eastAsia="Times New Roman" w:hAnsiTheme="majorBidi" w:cstheme="majorBidi"/>
                      <w:u w:val="single"/>
                    </w:rPr>
                    <w:t>ergocalciferol</w:t>
                  </w:r>
                  <w:proofErr w:type="spellEnd"/>
                  <w:r w:rsidR="00BC63EC" w:rsidRPr="00510BF4">
                    <w:rPr>
                      <w:rFonts w:asciiTheme="majorBidi" w:eastAsia="Times New Roman" w:hAnsiTheme="majorBidi" w:cstheme="majorBidi"/>
                    </w:rPr>
                    <w:pict>
                      <v:shape id="_x0000_i1046" type="#_x0000_t75" alt="View drug information" href="mk:@MSITStore:H:\New%20Folder\Rand%20&amp;%20Dale's%20Pharmacology%20(Churchill%20Livingstone,%202007).CHM::/www.studentconsult.com/content/bookcontent.cfm@id=hc031018.htm" title="&quot;View drug information&quot;" style="width:6.75pt;height:9pt" o:button="t"/>
                    </w:pict>
                  </w:r>
                  <w:r w:rsidR="00BC63EC" w:rsidRPr="00510BF4">
                    <w:rPr>
                      <w:rFonts w:asciiTheme="majorBidi" w:hAnsiTheme="majorBidi" w:cstheme="majorBidi"/>
                    </w:rPr>
                    <w:fldChar w:fldCharType="end"/>
                  </w:r>
                  <w:r w:rsidRPr="00510BF4">
                    <w:rPr>
                      <w:rFonts w:asciiTheme="majorBidi" w:eastAsia="Times New Roman" w:hAnsiTheme="majorBidi" w:cstheme="majorBidi"/>
                    </w:rPr>
                    <w:t xml:space="preserve">). </w:t>
                  </w:r>
                </w:p>
                <w:p w:rsidR="00E64E17" w:rsidRPr="00510BF4" w:rsidRDefault="00E64E17" w:rsidP="00510BF4">
                  <w:pPr>
                    <w:numPr>
                      <w:ilvl w:val="0"/>
                      <w:numId w:val="7"/>
                    </w:numPr>
                    <w:bidi w:val="0"/>
                    <w:spacing w:before="100" w:beforeAutospacing="1" w:after="100" w:afterAutospacing="1" w:line="240" w:lineRule="auto"/>
                    <w:jc w:val="both"/>
                    <w:rPr>
                      <w:rFonts w:asciiTheme="majorBidi" w:eastAsia="Times New Roman" w:hAnsiTheme="majorBidi" w:cstheme="majorBidi"/>
                    </w:rPr>
                  </w:pPr>
                  <w:proofErr w:type="spellStart"/>
                  <w:r w:rsidRPr="00510BF4">
                    <w:rPr>
                      <w:rFonts w:asciiTheme="majorBidi" w:eastAsia="Times New Roman" w:hAnsiTheme="majorBidi" w:cstheme="majorBidi"/>
                    </w:rPr>
                    <w:t>Osteodystrophy</w:t>
                  </w:r>
                  <w:proofErr w:type="spellEnd"/>
                  <w:r w:rsidRPr="00510BF4">
                    <w:rPr>
                      <w:rFonts w:asciiTheme="majorBidi" w:eastAsia="Times New Roman" w:hAnsiTheme="majorBidi" w:cstheme="majorBidi"/>
                    </w:rPr>
                    <w:t xml:space="preserve"> of chronic renal failure, which is the consequence of decreased </w:t>
                  </w:r>
                  <w:hyperlink r:id="rId28" w:tooltip="View drug information" w:history="1">
                    <w:proofErr w:type="spellStart"/>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47"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generation (</w:t>
                  </w:r>
                  <w:proofErr w:type="spellStart"/>
                  <w:r w:rsidR="00BC63EC" w:rsidRPr="00510BF4">
                    <w:rPr>
                      <w:rFonts w:asciiTheme="majorBidi" w:hAnsiTheme="majorBidi" w:cstheme="majorBidi"/>
                    </w:rPr>
                    <w:fldChar w:fldCharType="begin"/>
                  </w:r>
                  <w:r w:rsidR="00A600AB" w:rsidRPr="00510BF4">
                    <w:rPr>
                      <w:rFonts w:asciiTheme="majorBidi" w:hAnsiTheme="majorBidi" w:cstheme="majorBidi"/>
                    </w:rPr>
                    <w:instrText>HYPERLINK "mk:@MSITStore:H:\\New%20Folder\\Rand%20&amp;%20Dale's%20Pharmacology%20(Churchill%20Livingstone,%202007).CHM::/www.studentconsult.com/content/bookcontent.cfm@id=hc031018.htm" \o "View drug information"</w:instrText>
                  </w:r>
                  <w:r w:rsidR="00BC63EC" w:rsidRPr="00510BF4">
                    <w:rPr>
                      <w:rFonts w:asciiTheme="majorBidi" w:hAnsiTheme="majorBidi" w:cstheme="majorBidi"/>
                    </w:rPr>
                    <w:fldChar w:fldCharType="separate"/>
                  </w:r>
                  <w:r w:rsidRPr="00510BF4">
                    <w:rPr>
                      <w:rFonts w:asciiTheme="majorBidi" w:eastAsia="Times New Roman" w:hAnsiTheme="majorBidi" w:cstheme="majorBidi"/>
                      <w:u w:val="single"/>
                    </w:rPr>
                    <w:t>calcitriol</w:t>
                  </w:r>
                  <w:proofErr w:type="spellEnd"/>
                  <w:r w:rsidR="00BC63EC" w:rsidRPr="00510BF4">
                    <w:rPr>
                      <w:rFonts w:asciiTheme="majorBidi" w:eastAsia="Times New Roman" w:hAnsiTheme="majorBidi" w:cstheme="majorBidi"/>
                    </w:rPr>
                    <w:pict>
                      <v:shape id="_x0000_i1048" type="#_x0000_t75" alt="View drug information" href="mk:@MSITStore:H:\New%20Folder\Rand%20&amp;%20Dale's%20Pharmacology%20(Churchill%20Livingstone,%202007).CHM::/www.studentconsult.com/content/bookcontent.cfm@id=hc031018.htm" title="&quot;View drug information&quot;" style="width:6.75pt;height:9pt" o:button="t"/>
                    </w:pict>
                  </w:r>
                  <w:r w:rsidR="00BC63EC" w:rsidRPr="00510BF4">
                    <w:rPr>
                      <w:rFonts w:asciiTheme="majorBidi" w:hAnsiTheme="majorBidi" w:cstheme="majorBidi"/>
                    </w:rPr>
                    <w:fldChar w:fldCharType="end"/>
                  </w:r>
                  <w:r w:rsidRPr="00510BF4">
                    <w:rPr>
                      <w:rFonts w:asciiTheme="majorBidi" w:eastAsia="Times New Roman" w:hAnsiTheme="majorBidi" w:cstheme="majorBidi"/>
                    </w:rPr>
                    <w:t xml:space="preserve"> or </w:t>
                  </w:r>
                  <w:proofErr w:type="spellStart"/>
                  <w:r w:rsidRPr="00510BF4">
                    <w:rPr>
                      <w:rFonts w:asciiTheme="majorBidi" w:eastAsia="Times New Roman" w:hAnsiTheme="majorBidi" w:cstheme="majorBidi"/>
                    </w:rPr>
                    <w:t>alphacalcidol</w:t>
                  </w:r>
                  <w:proofErr w:type="spellEnd"/>
                  <w:r w:rsidRPr="00510BF4">
                    <w:rPr>
                      <w:rFonts w:asciiTheme="majorBidi" w:eastAsia="Times New Roman" w:hAnsiTheme="majorBidi" w:cstheme="majorBidi"/>
                    </w:rPr>
                    <w:t xml:space="preserve">). </w:t>
                  </w:r>
                </w:p>
                <w:p w:rsidR="00E64E17" w:rsidRPr="00510BF4" w:rsidRDefault="00E64E17" w:rsidP="00510BF4">
                  <w:pPr>
                    <w:numPr>
                      <w:ilvl w:val="0"/>
                      <w:numId w:val="7"/>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Plasma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levels should be monitored during therapy with vitamin D. </w:t>
                  </w:r>
                </w:p>
              </w:tc>
            </w:tr>
          </w:tbl>
          <w:p w:rsidR="00E64E17" w:rsidRPr="00510BF4" w:rsidRDefault="00E64E17"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709" w:type="dxa"/>
        <w:tblCellMar>
          <w:left w:w="0" w:type="dxa"/>
          <w:right w:w="0" w:type="dxa"/>
        </w:tblCellMar>
        <w:tblLook w:val="04A0"/>
      </w:tblPr>
      <w:tblGrid>
        <w:gridCol w:w="8306"/>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7" w:name="HC031037"/>
            <w:bookmarkEnd w:id="87"/>
            <w:r w:rsidRPr="00510BF4">
              <w:rPr>
                <w:rFonts w:asciiTheme="majorBidi" w:eastAsia="Times New Roman" w:hAnsiTheme="majorBidi" w:cstheme="majorBidi"/>
              </w:rPr>
              <w:t xml:space="preserve">Unwanted effects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400" w:type="pct"/>
        <w:tblCellSpacing w:w="0" w:type="dxa"/>
        <w:tblInd w:w="-1134" w:type="dxa"/>
        <w:tblCellMar>
          <w:left w:w="0" w:type="dxa"/>
          <w:right w:w="0" w:type="dxa"/>
        </w:tblCellMar>
        <w:tblLook w:val="04A0"/>
      </w:tblPr>
      <w:tblGrid>
        <w:gridCol w:w="10632"/>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8" w:name="P031068"/>
            <w:bookmarkEnd w:id="88"/>
            <w:r w:rsidRPr="00510BF4">
              <w:rPr>
                <w:rFonts w:asciiTheme="majorBidi" w:eastAsia="Times New Roman" w:hAnsiTheme="majorBidi" w:cstheme="majorBidi"/>
              </w:rPr>
              <w:t xml:space="preserve">Excessive intake of vitamin D causes </w:t>
            </w: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the manifestations of which include constipation, depression, weakness and fatigue. There is a reduced ability to concentrate the urine, resulting in </w:t>
            </w:r>
            <w:proofErr w:type="spellStart"/>
            <w:r w:rsidRPr="00510BF4">
              <w:rPr>
                <w:rFonts w:asciiTheme="majorBidi" w:eastAsia="Times New Roman" w:hAnsiTheme="majorBidi" w:cstheme="majorBidi"/>
              </w:rPr>
              <w:t>polyuria</w:t>
            </w:r>
            <w:proofErr w:type="spellEnd"/>
            <w:r w:rsidRPr="00510BF4">
              <w:rPr>
                <w:rFonts w:asciiTheme="majorBidi" w:eastAsia="Times New Roman" w:hAnsiTheme="majorBidi" w:cstheme="majorBidi"/>
              </w:rPr>
              <w:t xml:space="preserve"> and </w:t>
            </w:r>
            <w:proofErr w:type="spellStart"/>
            <w:r w:rsidRPr="00510BF4">
              <w:rPr>
                <w:rFonts w:asciiTheme="majorBidi" w:eastAsia="Times New Roman" w:hAnsiTheme="majorBidi" w:cstheme="majorBidi"/>
              </w:rPr>
              <w:t>polydipsia</w:t>
            </w:r>
            <w:proofErr w:type="spellEnd"/>
            <w:r w:rsidRPr="00510BF4">
              <w:rPr>
                <w:rFonts w:asciiTheme="majorBidi" w:eastAsia="Times New Roman" w:hAnsiTheme="majorBidi" w:cstheme="majorBidi"/>
              </w:rPr>
              <w:t xml:space="preserve">. If </w:t>
            </w: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persists, calcium salts are deposited in the kidney and urine, causing renal failure and kidney stones.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89" w:name="P031069"/>
            <w:bookmarkEnd w:id="89"/>
            <w:r w:rsidRPr="00510BF4">
              <w:rPr>
                <w:rFonts w:asciiTheme="majorBidi" w:eastAsia="Times New Roman" w:hAnsiTheme="majorBidi" w:cstheme="majorBidi"/>
              </w:rPr>
              <w:t xml:space="preserve">Some anticonvulsant drugs (e.g. </w:t>
            </w:r>
            <w:proofErr w:type="spellStart"/>
            <w:r w:rsidRPr="00510BF4">
              <w:rPr>
                <w:rFonts w:asciiTheme="majorBidi" w:eastAsia="Times New Roman" w:hAnsiTheme="majorBidi" w:cstheme="majorBidi"/>
              </w:rPr>
              <w:t>phenytoin</w:t>
            </w:r>
            <w:proofErr w:type="spellEnd"/>
            <w:r w:rsidRPr="00510BF4">
              <w:rPr>
                <w:rFonts w:asciiTheme="majorBidi" w:eastAsia="Times New Roman" w:hAnsiTheme="majorBidi" w:cstheme="majorBidi"/>
              </w:rPr>
              <w:t xml:space="preserve">; increase the requirement for vitamin D.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Ind w:w="-1134" w:type="dxa"/>
        <w:tblCellMar>
          <w:left w:w="0" w:type="dxa"/>
          <w:right w:w="0" w:type="dxa"/>
        </w:tblCellMar>
        <w:tblLook w:val="04A0"/>
      </w:tblPr>
      <w:tblGrid>
        <w:gridCol w:w="8306"/>
      </w:tblGrid>
      <w:tr w:rsidR="00C579D1" w:rsidRPr="00510BF4" w:rsidT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90" w:name="HC031038"/>
            <w:bookmarkEnd w:id="90"/>
            <w:r w:rsidRPr="00D568A0">
              <w:rPr>
                <w:rFonts w:asciiTheme="majorBidi" w:eastAsia="Times New Roman" w:hAnsiTheme="majorBidi" w:cstheme="majorBidi"/>
                <w:b/>
                <w:bCs/>
              </w:rPr>
              <w:t xml:space="preserve">CALCITONIN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144" w:type="pct"/>
        <w:tblCellSpacing w:w="0" w:type="dxa"/>
        <w:tblInd w:w="-993" w:type="dxa"/>
        <w:tblCellMar>
          <w:left w:w="0" w:type="dxa"/>
          <w:right w:w="0" w:type="dxa"/>
        </w:tblCellMar>
        <w:tblLook w:val="04A0"/>
      </w:tblPr>
      <w:tblGrid>
        <w:gridCol w:w="10206"/>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1" w:name="P031070"/>
            <w:bookmarkEnd w:id="91"/>
            <w:r w:rsidRPr="00510BF4">
              <w:rPr>
                <w:rFonts w:asciiTheme="majorBidi" w:eastAsia="Times New Roman" w:hAnsiTheme="majorBidi" w:cstheme="majorBidi"/>
              </w:rPr>
              <w:t xml:space="preserve">The main preparation available for clinical use is </w:t>
            </w:r>
            <w:proofErr w:type="spellStart"/>
            <w:r w:rsidRPr="00510BF4">
              <w:rPr>
                <w:rFonts w:asciiTheme="majorBidi" w:eastAsia="Times New Roman" w:hAnsiTheme="majorBidi" w:cstheme="majorBidi"/>
              </w:rPr>
              <w:t>salcatonin</w:t>
            </w:r>
            <w:proofErr w:type="spellEnd"/>
            <w:r w:rsidRPr="00510BF4">
              <w:rPr>
                <w:rFonts w:asciiTheme="majorBidi" w:eastAsia="Times New Roman" w:hAnsiTheme="majorBidi" w:cstheme="majorBidi"/>
              </w:rPr>
              <w:t xml:space="preserve"> (synthetic salmon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Synthetic human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is now also available.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is given by subcutaneous or intramuscular injection, and there may be a local inflammatory action at the injection site. It can also be given </w:t>
            </w:r>
            <w:proofErr w:type="spellStart"/>
            <w:r w:rsidRPr="00510BF4">
              <w:rPr>
                <w:rFonts w:asciiTheme="majorBidi" w:eastAsia="Times New Roman" w:hAnsiTheme="majorBidi" w:cstheme="majorBidi"/>
              </w:rPr>
              <w:t>intranasally</w:t>
            </w:r>
            <w:proofErr w:type="spellEnd"/>
            <w:r w:rsidRPr="00510BF4">
              <w:rPr>
                <w:rFonts w:asciiTheme="majorBidi" w:eastAsia="Times New Roman" w:hAnsiTheme="majorBidi" w:cstheme="majorBidi"/>
              </w:rPr>
              <w:t xml:space="preserve">. Its plasma half-life is 4-12 minutes, but its action lasts for several hours. </w:t>
            </w:r>
          </w:p>
          <w:tbl>
            <w:tblPr>
              <w:tblW w:w="4000" w:type="pct"/>
              <w:jc w:val="center"/>
              <w:tblCellSpacing w:w="0" w:type="dxa"/>
              <w:tblCellMar>
                <w:left w:w="0" w:type="dxa"/>
                <w:right w:w="0" w:type="dxa"/>
              </w:tblCellMar>
              <w:tblLook w:val="04A0"/>
            </w:tblPr>
            <w:tblGrid>
              <w:gridCol w:w="8165"/>
            </w:tblGrid>
            <w:tr w:rsidR="00E64E17" w:rsidRPr="00510BF4" w:rsidTr="00BD7FF7">
              <w:trPr>
                <w:trHeight w:val="233"/>
                <w:tblCellSpacing w:w="0" w:type="dxa"/>
                <w:jc w:val="center"/>
              </w:trPr>
              <w:tc>
                <w:tcPr>
                  <w:tcW w:w="5000" w:type="pct"/>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Clinical uses of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w:t>
                  </w:r>
                  <w:proofErr w:type="spellStart"/>
                  <w:r w:rsidRPr="00510BF4">
                    <w:rPr>
                      <w:rFonts w:asciiTheme="majorBidi" w:eastAsia="Times New Roman" w:hAnsiTheme="majorBidi" w:cstheme="majorBidi"/>
                    </w:rPr>
                    <w:t>salcatonin</w:t>
                  </w:r>
                  <w:proofErr w:type="spellEnd"/>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10206"/>
            </w:tblGrid>
            <w:tr w:rsidR="00E64E17" w:rsidRPr="00510BF4" w:rsidTr="00BD7FF7">
              <w:trPr>
                <w:tblCellSpacing w:w="0" w:type="dxa"/>
              </w:trPr>
              <w:tc>
                <w:tcPr>
                  <w:tcW w:w="0" w:type="auto"/>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4000" w:type="pct"/>
              <w:jc w:val="center"/>
              <w:tblCellSpacing w:w="0" w:type="dxa"/>
              <w:tblCellMar>
                <w:left w:w="0" w:type="dxa"/>
                <w:right w:w="0" w:type="dxa"/>
              </w:tblCellMar>
              <w:tblLook w:val="04A0"/>
            </w:tblPr>
            <w:tblGrid>
              <w:gridCol w:w="8165"/>
            </w:tblGrid>
            <w:tr w:rsidR="00E64E17" w:rsidRPr="00510BF4" w:rsidTr="00BD7FF7">
              <w:trPr>
                <w:tblCellSpacing w:w="0" w:type="dxa"/>
                <w:jc w:val="center"/>
              </w:trPr>
              <w:tc>
                <w:tcPr>
                  <w:tcW w:w="5000" w:type="pct"/>
                  <w:vAlign w:val="center"/>
                  <w:hideMark/>
                </w:tcPr>
                <w:p w:rsidR="00E64E17" w:rsidRPr="00510BF4" w:rsidRDefault="00E64E17" w:rsidP="00510BF4">
                  <w:pPr>
                    <w:numPr>
                      <w:ilvl w:val="0"/>
                      <w:numId w:val="9"/>
                    </w:numPr>
                    <w:bidi w:val="0"/>
                    <w:spacing w:before="100" w:beforeAutospacing="1" w:after="100" w:afterAutospacing="1" w:line="240" w:lineRule="auto"/>
                    <w:jc w:val="both"/>
                    <w:rPr>
                      <w:rFonts w:asciiTheme="majorBidi" w:eastAsia="Times New Roman" w:hAnsiTheme="majorBidi" w:cstheme="majorBidi"/>
                    </w:rPr>
                  </w:pPr>
                  <w:proofErr w:type="spellStart"/>
                  <w:r w:rsidRPr="00510BF4">
                    <w:rPr>
                      <w:rFonts w:asciiTheme="majorBidi" w:eastAsia="Times New Roman" w:hAnsiTheme="majorBidi" w:cstheme="majorBidi"/>
                    </w:rPr>
                    <w:t>Hypercalcaemia</w:t>
                  </w:r>
                  <w:proofErr w:type="spellEnd"/>
                  <w:r w:rsidRPr="00510BF4">
                    <w:rPr>
                      <w:rFonts w:asciiTheme="majorBidi" w:eastAsia="Times New Roman" w:hAnsiTheme="majorBidi" w:cstheme="majorBidi"/>
                    </w:rPr>
                    <w:t xml:space="preserve"> (e.g. associated with </w:t>
                  </w:r>
                  <w:proofErr w:type="spellStart"/>
                  <w:r w:rsidRPr="00510BF4">
                    <w:rPr>
                      <w:rFonts w:asciiTheme="majorBidi" w:eastAsia="Times New Roman" w:hAnsiTheme="majorBidi" w:cstheme="majorBidi"/>
                    </w:rPr>
                    <w:t>neoplasia</w:t>
                  </w:r>
                  <w:proofErr w:type="spellEnd"/>
                  <w:r w:rsidRPr="00510BF4">
                    <w:rPr>
                      <w:rFonts w:asciiTheme="majorBidi" w:eastAsia="Times New Roman" w:hAnsiTheme="majorBidi" w:cstheme="majorBidi"/>
                    </w:rPr>
                    <w:t xml:space="preserve">). </w:t>
                  </w:r>
                </w:p>
                <w:p w:rsidR="00E64E17" w:rsidRPr="00510BF4" w:rsidRDefault="00E64E17" w:rsidP="00510BF4">
                  <w:pPr>
                    <w:numPr>
                      <w:ilvl w:val="0"/>
                      <w:numId w:val="9"/>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Paget's disease of bone (to relieve pain and reduce neurological complications). </w:t>
                  </w:r>
                </w:p>
                <w:p w:rsidR="00E64E17" w:rsidRPr="00510BF4" w:rsidRDefault="00E64E17" w:rsidP="00510BF4">
                  <w:pPr>
                    <w:numPr>
                      <w:ilvl w:val="0"/>
                      <w:numId w:val="9"/>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Postmenopausal and corticosteroid-induced osteoporosis (with other agents). </w:t>
                  </w:r>
                </w:p>
              </w:tc>
            </w:tr>
          </w:tbl>
          <w:p w:rsidR="00E64E17" w:rsidRPr="00510BF4" w:rsidRDefault="00E64E17"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059" w:type="pct"/>
        <w:tblCellSpacing w:w="0" w:type="dxa"/>
        <w:tblInd w:w="-993" w:type="dxa"/>
        <w:tblCellMar>
          <w:left w:w="0" w:type="dxa"/>
          <w:right w:w="0" w:type="dxa"/>
        </w:tblCellMar>
        <w:tblLook w:val="04A0"/>
      </w:tblPr>
      <w:tblGrid>
        <w:gridCol w:w="10065"/>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2" w:name="P031071"/>
            <w:bookmarkEnd w:id="92"/>
            <w:r w:rsidRPr="00510BF4">
              <w:rPr>
                <w:rFonts w:asciiTheme="majorBidi" w:eastAsia="Times New Roman" w:hAnsiTheme="majorBidi" w:cstheme="majorBidi"/>
              </w:rPr>
              <w:t xml:space="preserve">Unwanted effects include nausea and vomiting. Facial flushing may occur, as may a tingling sensation in the hands and an unpleasant taste in the mouth. </w:t>
            </w:r>
          </w:p>
          <w:p w:rsidR="00E64E17" w:rsidRPr="00510BF4" w:rsidRDefault="00E64E17"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bookmarkStart w:id="93" w:name="B031003"/>
      <w:bookmarkEnd w:id="93"/>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EEEEEE"/>
            <w:vAlign w:val="center"/>
            <w:hideMark/>
          </w:tcPr>
          <w:bookmarkStart w:id="94" w:name="P0469"/>
          <w:bookmarkEnd w:id="94"/>
          <w:p w:rsidR="00C579D1" w:rsidRPr="00510BF4" w:rsidRDefault="00BC63EC"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fldChar w:fldCharType="begin"/>
            </w:r>
            <w:r w:rsidR="00C579D1" w:rsidRPr="00510BF4">
              <w:rPr>
                <w:rFonts w:asciiTheme="majorBidi" w:eastAsia="Times New Roman" w:hAnsiTheme="majorBidi" w:cstheme="majorBidi"/>
              </w:rPr>
              <w:instrText xml:space="preserve"> INCLUDEPICTURE "mk:@MSITStore:H:\\New%20Folder\\Rand%20&amp;%20Dale's%20Pharmacology%20(Churchill%20Livingstone,%202007).CHM::/www.studentconsult.com/images/pixel.gif" \* MERGEFORMATINET </w:instrText>
            </w:r>
            <w:r w:rsidRPr="00510BF4">
              <w:rPr>
                <w:rFonts w:asciiTheme="majorBidi" w:eastAsia="Times New Roman" w:hAnsiTheme="majorBidi" w:cstheme="majorBidi"/>
              </w:rPr>
              <w:fldChar w:fldCharType="separate"/>
            </w:r>
            <w:r w:rsidRPr="00510BF4">
              <w:rPr>
                <w:rFonts w:asciiTheme="majorBidi" w:eastAsia="Times New Roman" w:hAnsiTheme="majorBidi" w:cstheme="majorBidi"/>
              </w:rPr>
              <w:pict>
                <v:shape id="_x0000_i1052" type="#_x0000_t75" alt="0" style="width:.75pt;height:.75pt"/>
              </w:pict>
            </w:r>
            <w:r w:rsidRPr="00510BF4">
              <w:rPr>
                <w:rFonts w:asciiTheme="majorBidi" w:eastAsia="Times New Roman" w:hAnsiTheme="majorBidi" w:cstheme="majorBidi"/>
              </w:rPr>
              <w:fldChar w:fldCharType="end"/>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rPr>
            </w:pPr>
            <w:bookmarkStart w:id="95" w:name="HC031039"/>
            <w:bookmarkEnd w:id="95"/>
            <w:r w:rsidRPr="00D568A0">
              <w:rPr>
                <w:rFonts w:asciiTheme="majorBidi" w:eastAsia="Times New Roman" w:hAnsiTheme="majorBidi" w:cstheme="majorBidi"/>
                <w:b/>
                <w:bCs/>
              </w:rPr>
              <w:t xml:space="preserve">CALCIUM SALTS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059" w:type="pct"/>
        <w:tblCellSpacing w:w="0" w:type="dxa"/>
        <w:tblInd w:w="-851" w:type="dxa"/>
        <w:tblCellMar>
          <w:left w:w="0" w:type="dxa"/>
          <w:right w:w="0" w:type="dxa"/>
        </w:tblCellMar>
        <w:tblLook w:val="04A0"/>
      </w:tblPr>
      <w:tblGrid>
        <w:gridCol w:w="10065"/>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6" w:name="P031073"/>
            <w:bookmarkEnd w:id="96"/>
            <w:r w:rsidRPr="00510BF4">
              <w:rPr>
                <w:rFonts w:asciiTheme="majorBidi" w:eastAsia="Times New Roman" w:hAnsiTheme="majorBidi" w:cstheme="majorBidi"/>
              </w:rPr>
              <w:t xml:space="preserve">Calcium salts used therapeutically include </w:t>
            </w:r>
            <w:hyperlink r:id="rId29" w:tooltip="View drug information" w:history="1">
              <w:r w:rsidRPr="00510BF4">
                <w:rPr>
                  <w:rFonts w:asciiTheme="majorBidi" w:eastAsia="Times New Roman" w:hAnsiTheme="majorBidi" w:cstheme="majorBidi"/>
                  <w:u w:val="single"/>
                </w:rPr>
                <w:t xml:space="preserve">calcium </w:t>
              </w:r>
              <w:proofErr w:type="spellStart"/>
              <w:r w:rsidRPr="00510BF4">
                <w:rPr>
                  <w:rFonts w:asciiTheme="majorBidi" w:eastAsia="Times New Roman" w:hAnsiTheme="majorBidi" w:cstheme="majorBidi"/>
                  <w:u w:val="single"/>
                </w:rPr>
                <w:t>gluconate</w:t>
              </w:r>
              <w:proofErr w:type="spellEnd"/>
              <w:r w:rsidR="00BC63EC" w:rsidRPr="00510BF4">
                <w:rPr>
                  <w:rFonts w:asciiTheme="majorBidi" w:eastAsia="Times New Roman" w:hAnsiTheme="majorBidi" w:cstheme="majorBidi"/>
                </w:rPr>
                <w:pict>
                  <v:shape id="_x0000_i1053"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and calcium lactate, given orally. </w:t>
            </w:r>
            <w:hyperlink r:id="rId30" w:tooltip="View drug information" w:history="1">
              <w:r w:rsidRPr="00510BF4">
                <w:rPr>
                  <w:rFonts w:asciiTheme="majorBidi" w:eastAsia="Times New Roman" w:hAnsiTheme="majorBidi" w:cstheme="majorBidi"/>
                  <w:u w:val="single"/>
                </w:rPr>
                <w:t xml:space="preserve">Calcium </w:t>
              </w:r>
              <w:proofErr w:type="spellStart"/>
              <w:r w:rsidRPr="00510BF4">
                <w:rPr>
                  <w:rFonts w:asciiTheme="majorBidi" w:eastAsia="Times New Roman" w:hAnsiTheme="majorBidi" w:cstheme="majorBidi"/>
                  <w:u w:val="single"/>
                </w:rPr>
                <w:t>gluconate</w:t>
              </w:r>
              <w:proofErr w:type="spellEnd"/>
              <w:r w:rsidR="00BC63EC" w:rsidRPr="00510BF4">
                <w:rPr>
                  <w:rFonts w:asciiTheme="majorBidi" w:eastAsia="Times New Roman" w:hAnsiTheme="majorBidi" w:cstheme="majorBidi"/>
                </w:rPr>
                <w:pict>
                  <v:shape id="_x0000_i1054" type="#_x0000_t75" alt="View drug information" href="mk:@MSITStore:H:\New%20Folder\Rand%20&amp;%20Dale's%20Pharmacology%20(Churchill%20Livingstone,%202007).CHM::/www.studentconsult.com/content/bookcontent.cfm@id=hc031018.htm" title="&quot;View drug information&quot;" style="width:6.75pt;height:9pt" o:button="t"/>
                </w:pict>
              </w:r>
            </w:hyperlink>
            <w:r w:rsidRPr="00510BF4">
              <w:rPr>
                <w:rFonts w:asciiTheme="majorBidi" w:eastAsia="Times New Roman" w:hAnsiTheme="majorBidi" w:cstheme="majorBidi"/>
              </w:rPr>
              <w:t xml:space="preserve"> is also used for intravenous injection in emergency treatment of </w:t>
            </w:r>
            <w:proofErr w:type="spellStart"/>
            <w:r w:rsidRPr="00510BF4">
              <w:rPr>
                <w:rFonts w:asciiTheme="majorBidi" w:eastAsia="Times New Roman" w:hAnsiTheme="majorBidi" w:cstheme="majorBidi"/>
              </w:rPr>
              <w:t>hyperkalaemia</w:t>
            </w:r>
            <w:proofErr w:type="spellEnd"/>
            <w:r w:rsidRPr="00510BF4">
              <w:rPr>
                <w:rFonts w:asciiTheme="majorBidi" w:eastAsia="Times New Roman" w:hAnsiTheme="majorBidi" w:cstheme="majorBidi"/>
              </w:rPr>
              <w:t xml:space="preserve"> intramuscular injection is not used, because it causes local necrosis.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7" w:name="P031074"/>
            <w:bookmarkEnd w:id="97"/>
            <w:r w:rsidRPr="00510BF4">
              <w:rPr>
                <w:rFonts w:asciiTheme="majorBidi" w:eastAsia="Times New Roman" w:hAnsiTheme="majorBidi" w:cstheme="majorBidi"/>
              </w:rPr>
              <w:t xml:space="preserve">Calcium carbonate, an antacid, is poorly absorbed in the gut, but there is concern about systemic absorption and the potential to cause arterial calcification. An oral preparation of </w:t>
            </w:r>
            <w:proofErr w:type="spellStart"/>
            <w:r w:rsidRPr="00510BF4">
              <w:rPr>
                <w:rFonts w:asciiTheme="majorBidi" w:eastAsia="Times New Roman" w:hAnsiTheme="majorBidi" w:cstheme="majorBidi"/>
              </w:rPr>
              <w:t>hydroxyapatite</w:t>
            </w:r>
            <w:proofErr w:type="spellEnd"/>
            <w:r w:rsidRPr="00510BF4">
              <w:rPr>
                <w:rFonts w:asciiTheme="majorBidi" w:eastAsia="Times New Roman" w:hAnsiTheme="majorBidi" w:cstheme="majorBidi"/>
              </w:rPr>
              <w:t xml:space="preserve"> is available. </w:t>
            </w:r>
          </w:p>
          <w:tbl>
            <w:tblPr>
              <w:tblW w:w="4000" w:type="pct"/>
              <w:jc w:val="center"/>
              <w:tblCellSpacing w:w="0" w:type="dxa"/>
              <w:tblCellMar>
                <w:left w:w="0" w:type="dxa"/>
                <w:right w:w="0" w:type="dxa"/>
              </w:tblCellMar>
              <w:tblLook w:val="04A0"/>
            </w:tblPr>
            <w:tblGrid>
              <w:gridCol w:w="8392"/>
            </w:tblGrid>
            <w:tr w:rsidR="00E64E17" w:rsidRPr="00510BF4" w:rsidTr="00BD7FF7">
              <w:trPr>
                <w:tblCellSpacing w:w="0" w:type="dxa"/>
                <w:jc w:val="center"/>
              </w:trPr>
              <w:tc>
                <w:tcPr>
                  <w:tcW w:w="5000" w:type="pct"/>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t>Clinical uses of calcium salts</w:t>
                  </w:r>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10490"/>
            </w:tblGrid>
            <w:tr w:rsidR="00E64E17" w:rsidRPr="00510BF4" w:rsidTr="00BD7FF7">
              <w:trPr>
                <w:tblCellSpacing w:w="0" w:type="dxa"/>
              </w:trPr>
              <w:tc>
                <w:tcPr>
                  <w:tcW w:w="0" w:type="auto"/>
                  <w:vAlign w:val="center"/>
                  <w:hideMark/>
                </w:tcPr>
                <w:p w:rsidR="00E64E17" w:rsidRPr="00510BF4" w:rsidRDefault="00E64E17" w:rsidP="00510BF4">
                  <w:pPr>
                    <w:bidi w:val="0"/>
                    <w:spacing w:after="0" w:line="240" w:lineRule="auto"/>
                    <w:jc w:val="both"/>
                    <w:rPr>
                      <w:rFonts w:asciiTheme="majorBidi" w:eastAsia="Times New Roman" w:hAnsiTheme="majorBidi" w:cstheme="majorBidi"/>
                    </w:rPr>
                  </w:pPr>
                </w:p>
              </w:tc>
            </w:tr>
          </w:tbl>
          <w:p w:rsidR="00E64E17" w:rsidRPr="00510BF4" w:rsidRDefault="00E64E17" w:rsidP="00510BF4">
            <w:pPr>
              <w:bidi w:val="0"/>
              <w:spacing w:after="0" w:line="240" w:lineRule="auto"/>
              <w:jc w:val="both"/>
              <w:rPr>
                <w:rFonts w:asciiTheme="majorBidi" w:eastAsia="Times New Roman" w:hAnsiTheme="majorBidi" w:cstheme="majorBidi"/>
                <w:vanish/>
              </w:rPr>
            </w:pPr>
          </w:p>
          <w:tbl>
            <w:tblPr>
              <w:tblW w:w="4000" w:type="pct"/>
              <w:jc w:val="center"/>
              <w:tblCellSpacing w:w="0" w:type="dxa"/>
              <w:tblCellMar>
                <w:left w:w="0" w:type="dxa"/>
                <w:right w:w="0" w:type="dxa"/>
              </w:tblCellMar>
              <w:tblLook w:val="04A0"/>
            </w:tblPr>
            <w:tblGrid>
              <w:gridCol w:w="8392"/>
            </w:tblGrid>
            <w:tr w:rsidR="00E64E17" w:rsidRPr="00510BF4" w:rsidTr="00BD7FF7">
              <w:trPr>
                <w:tblCellSpacing w:w="0" w:type="dxa"/>
                <w:jc w:val="center"/>
              </w:trPr>
              <w:tc>
                <w:tcPr>
                  <w:tcW w:w="5000" w:type="pct"/>
                  <w:vAlign w:val="center"/>
                  <w:hideMark/>
                </w:tcPr>
                <w:p w:rsidR="00E64E17" w:rsidRPr="00510BF4" w:rsidRDefault="00E64E17" w:rsidP="00510BF4">
                  <w:pPr>
                    <w:numPr>
                      <w:ilvl w:val="0"/>
                      <w:numId w:val="10"/>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Dietary deficiency. </w:t>
                  </w:r>
                </w:p>
                <w:p w:rsidR="00E64E17" w:rsidRPr="00510BF4" w:rsidRDefault="00E64E17" w:rsidP="00510BF4">
                  <w:pPr>
                    <w:numPr>
                      <w:ilvl w:val="0"/>
                      <w:numId w:val="10"/>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Hypocalcaemia caused by </w:t>
                  </w:r>
                  <w:proofErr w:type="spellStart"/>
                  <w:r w:rsidRPr="00510BF4">
                    <w:rPr>
                      <w:rFonts w:asciiTheme="majorBidi" w:eastAsia="Times New Roman" w:hAnsiTheme="majorBidi" w:cstheme="majorBidi"/>
                    </w:rPr>
                    <w:t>hypoparathyroidism</w:t>
                  </w:r>
                  <w:proofErr w:type="spellEnd"/>
                  <w:r w:rsidRPr="00510BF4">
                    <w:rPr>
                      <w:rFonts w:asciiTheme="majorBidi" w:eastAsia="Times New Roman" w:hAnsiTheme="majorBidi" w:cstheme="majorBidi"/>
                    </w:rPr>
                    <w:t xml:space="preserve"> or </w:t>
                  </w:r>
                  <w:proofErr w:type="spellStart"/>
                  <w:r w:rsidRPr="00510BF4">
                    <w:rPr>
                      <w:rFonts w:asciiTheme="majorBidi" w:eastAsia="Times New Roman" w:hAnsiTheme="majorBidi" w:cstheme="majorBidi"/>
                    </w:rPr>
                    <w:t>malabsorption</w:t>
                  </w:r>
                  <w:proofErr w:type="spellEnd"/>
                  <w:r w:rsidRPr="00510BF4">
                    <w:rPr>
                      <w:rFonts w:asciiTheme="majorBidi" w:eastAsia="Times New Roman" w:hAnsiTheme="majorBidi" w:cstheme="majorBidi"/>
                    </w:rPr>
                    <w:t xml:space="preserve"> (intravenous for acute </w:t>
                  </w:r>
                  <w:proofErr w:type="spellStart"/>
                  <w:r w:rsidRPr="00510BF4">
                    <w:rPr>
                      <w:rFonts w:asciiTheme="majorBidi" w:eastAsia="Times New Roman" w:hAnsiTheme="majorBidi" w:cstheme="majorBidi"/>
                    </w:rPr>
                    <w:t>tetany</w:t>
                  </w:r>
                  <w:proofErr w:type="spellEnd"/>
                  <w:r w:rsidRPr="00510BF4">
                    <w:rPr>
                      <w:rFonts w:asciiTheme="majorBidi" w:eastAsia="Times New Roman" w:hAnsiTheme="majorBidi" w:cstheme="majorBidi"/>
                    </w:rPr>
                    <w:t xml:space="preserve">). </w:t>
                  </w:r>
                </w:p>
                <w:p w:rsidR="00E64E17" w:rsidRPr="00510BF4" w:rsidRDefault="00BC63EC" w:rsidP="00510BF4">
                  <w:pPr>
                    <w:numPr>
                      <w:ilvl w:val="0"/>
                      <w:numId w:val="10"/>
                    </w:numPr>
                    <w:bidi w:val="0"/>
                    <w:spacing w:before="100" w:beforeAutospacing="1" w:after="100" w:afterAutospacing="1" w:line="240" w:lineRule="auto"/>
                    <w:jc w:val="both"/>
                    <w:rPr>
                      <w:rFonts w:asciiTheme="majorBidi" w:eastAsia="Times New Roman" w:hAnsiTheme="majorBidi" w:cstheme="majorBidi"/>
                    </w:rPr>
                  </w:pPr>
                  <w:hyperlink r:id="rId31" w:tooltip="View drug information" w:history="1">
                    <w:r w:rsidR="00E64E17" w:rsidRPr="00510BF4">
                      <w:rPr>
                        <w:rFonts w:asciiTheme="majorBidi" w:eastAsia="Times New Roman" w:hAnsiTheme="majorBidi" w:cstheme="majorBidi"/>
                        <w:u w:val="single"/>
                      </w:rPr>
                      <w:t>Calcium carbonate</w:t>
                    </w:r>
                    <w:r w:rsidRPr="00510BF4">
                      <w:rPr>
                        <w:rFonts w:asciiTheme="majorBidi" w:eastAsia="Times New Roman" w:hAnsiTheme="majorBidi" w:cstheme="majorBidi"/>
                      </w:rPr>
                      <w:pict>
                        <v:shape id="_x0000_i1055" type="#_x0000_t75" alt="View drug information" href="mk:@MSITStore:H:\New%20Folder\Rand%20&amp;%20Dale's%20Pharmacology%20(Churchill%20Livingstone,%202007).CHM::/www.studentconsult.com/content/bookcontent.cfm@id=hc031041.htm" title="&quot;View drug information&quot;" style="width:6.75pt;height:9pt" o:button="t"/>
                      </w:pict>
                    </w:r>
                  </w:hyperlink>
                  <w:r w:rsidR="00E64E17" w:rsidRPr="00510BF4">
                    <w:rPr>
                      <w:rFonts w:asciiTheme="majorBidi" w:eastAsia="Times New Roman" w:hAnsiTheme="majorBidi" w:cstheme="majorBidi"/>
                    </w:rPr>
                    <w:t xml:space="preserve"> is an antacid; it is poorly absorbed and binds phosphate in the gut. It is used to treat </w:t>
                  </w:r>
                  <w:proofErr w:type="spellStart"/>
                  <w:r w:rsidR="00E64E17" w:rsidRPr="00510BF4">
                    <w:rPr>
                      <w:rFonts w:asciiTheme="majorBidi" w:eastAsia="Times New Roman" w:hAnsiTheme="majorBidi" w:cstheme="majorBidi"/>
                    </w:rPr>
                    <w:t>hyperphosphataemia</w:t>
                  </w:r>
                  <w:proofErr w:type="spellEnd"/>
                  <w:r w:rsidR="00E64E17" w:rsidRPr="00510BF4">
                    <w:rPr>
                      <w:rFonts w:asciiTheme="majorBidi" w:eastAsia="Times New Roman" w:hAnsiTheme="majorBidi" w:cstheme="majorBidi"/>
                    </w:rPr>
                    <w:t xml:space="preserve"> </w:t>
                  </w:r>
                </w:p>
                <w:p w:rsidR="00E64E17" w:rsidRPr="00510BF4" w:rsidRDefault="00E64E17" w:rsidP="00510BF4">
                  <w:pPr>
                    <w:numPr>
                      <w:ilvl w:val="0"/>
                      <w:numId w:val="10"/>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Prevention and treatment of osteoporosis (often with </w:t>
                  </w:r>
                  <w:proofErr w:type="spellStart"/>
                  <w:r w:rsidRPr="00510BF4">
                    <w:rPr>
                      <w:rFonts w:asciiTheme="majorBidi" w:eastAsia="Times New Roman" w:hAnsiTheme="majorBidi" w:cstheme="majorBidi"/>
                    </w:rPr>
                    <w:t>oestrogen</w:t>
                  </w:r>
                  <w:proofErr w:type="spell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bisphosphonate</w:t>
                  </w:r>
                  <w:proofErr w:type="spellEnd"/>
                  <w:r w:rsidRPr="00510BF4">
                    <w:rPr>
                      <w:rFonts w:asciiTheme="majorBidi" w:eastAsia="Times New Roman" w:hAnsiTheme="majorBidi" w:cstheme="majorBidi"/>
                    </w:rPr>
                    <w:t xml:space="preserve">, vitamin D or </w:t>
                  </w:r>
                  <w:proofErr w:type="spellStart"/>
                  <w:r w:rsidRPr="00510BF4">
                    <w:rPr>
                      <w:rFonts w:asciiTheme="majorBidi" w:eastAsia="Times New Roman" w:hAnsiTheme="majorBidi" w:cstheme="majorBidi"/>
                    </w:rPr>
                    <w:t>calcitonin</w:t>
                  </w:r>
                  <w:proofErr w:type="spellEnd"/>
                  <w:r w:rsidRPr="00510BF4">
                    <w:rPr>
                      <w:rFonts w:asciiTheme="majorBidi" w:eastAsia="Times New Roman" w:hAnsiTheme="majorBidi" w:cstheme="majorBidi"/>
                    </w:rPr>
                    <w:t xml:space="preserve">). </w:t>
                  </w:r>
                </w:p>
                <w:p w:rsidR="00E64E17" w:rsidRPr="00510BF4" w:rsidRDefault="00E64E17" w:rsidP="00510BF4">
                  <w:pPr>
                    <w:numPr>
                      <w:ilvl w:val="0"/>
                      <w:numId w:val="10"/>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Cardiac </w:t>
                  </w:r>
                  <w:proofErr w:type="spellStart"/>
                  <w:r w:rsidRPr="00510BF4">
                    <w:rPr>
                      <w:rFonts w:asciiTheme="majorBidi" w:eastAsia="Times New Roman" w:hAnsiTheme="majorBidi" w:cstheme="majorBidi"/>
                    </w:rPr>
                    <w:t>dysrhythmias</w:t>
                  </w:r>
                  <w:proofErr w:type="spellEnd"/>
                  <w:r w:rsidRPr="00510BF4">
                    <w:rPr>
                      <w:rFonts w:asciiTheme="majorBidi" w:eastAsia="Times New Roman" w:hAnsiTheme="majorBidi" w:cstheme="majorBidi"/>
                    </w:rPr>
                    <w:t xml:space="preserve"> caused by severe </w:t>
                  </w:r>
                  <w:proofErr w:type="spellStart"/>
                  <w:r w:rsidRPr="00510BF4">
                    <w:rPr>
                      <w:rFonts w:asciiTheme="majorBidi" w:eastAsia="Times New Roman" w:hAnsiTheme="majorBidi" w:cstheme="majorBidi"/>
                    </w:rPr>
                    <w:t>hyperkalaemia</w:t>
                  </w:r>
                  <w:proofErr w:type="spellEnd"/>
                  <w:r w:rsidRPr="00510BF4">
                    <w:rPr>
                      <w:rFonts w:asciiTheme="majorBidi" w:eastAsia="Times New Roman" w:hAnsiTheme="majorBidi" w:cstheme="majorBidi"/>
                    </w:rPr>
                    <w:t xml:space="preserve"> </w:t>
                  </w:r>
                </w:p>
              </w:tc>
            </w:tr>
          </w:tbl>
          <w:p w:rsidR="00E64E17" w:rsidRPr="00510BF4" w:rsidRDefault="00E64E17"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98" w:name="P031075"/>
            <w:bookmarkEnd w:id="98"/>
            <w:r w:rsidRPr="00510BF4">
              <w:rPr>
                <w:rFonts w:asciiTheme="majorBidi" w:eastAsia="Times New Roman" w:hAnsiTheme="majorBidi" w:cstheme="majorBidi"/>
              </w:rPr>
              <w:t xml:space="preserve">Unwanted effects: oral calcium salts can cause gastrointestinal disturbance. Intravenous administration requires care, especially in patients on cardiac glycosides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bookmarkStart w:id="99" w:name="P031076"/>
      <w:bookmarkEnd w:id="99"/>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u w:val="single"/>
              </w:rPr>
            </w:pPr>
            <w:bookmarkStart w:id="100" w:name="HC031040"/>
            <w:bookmarkEnd w:id="100"/>
            <w:r w:rsidRPr="00D568A0">
              <w:rPr>
                <w:rFonts w:asciiTheme="majorBidi" w:eastAsia="Times New Roman" w:hAnsiTheme="majorBidi" w:cstheme="majorBidi"/>
                <w:b/>
                <w:bCs/>
                <w:u w:val="single"/>
              </w:rPr>
              <w:t xml:space="preserve">CALCIMIMETIC COMPOUNDS </w:t>
            </w:r>
          </w:p>
          <w:p w:rsidR="00970623" w:rsidRPr="00510BF4" w:rsidRDefault="00970623"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1" w:name="P031077"/>
            <w:bookmarkEnd w:id="101"/>
            <w:proofErr w:type="spellStart"/>
            <w:r w:rsidRPr="00510BF4">
              <w:rPr>
                <w:rFonts w:asciiTheme="majorBidi" w:eastAsia="Times New Roman" w:hAnsiTheme="majorBidi" w:cstheme="majorBidi"/>
              </w:rPr>
              <w:t>Calcimimetics</w:t>
            </w:r>
            <w:proofErr w:type="spellEnd"/>
            <w:r w:rsidRPr="00510BF4">
              <w:rPr>
                <w:rFonts w:asciiTheme="majorBidi" w:eastAsia="Times New Roman" w:hAnsiTheme="majorBidi" w:cstheme="majorBidi"/>
              </w:rPr>
              <w:t xml:space="preserve"> enhance the sensitivity of the parathyroid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-sensing receptor to the concentration of blood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The effect is to decrease the secretion of PTH and reduce the serum Ca</w:t>
            </w:r>
            <w:r w:rsidRPr="00510BF4">
              <w:rPr>
                <w:rFonts w:asciiTheme="majorBidi" w:eastAsia="Times New Roman" w:hAnsiTheme="majorBidi" w:cstheme="majorBidi"/>
                <w:vertAlign w:val="superscript"/>
              </w:rPr>
              <w:t>2+</w:t>
            </w:r>
            <w:r w:rsidRPr="00510BF4">
              <w:rPr>
                <w:rFonts w:asciiTheme="majorBidi" w:eastAsia="Times New Roman" w:hAnsiTheme="majorBidi" w:cstheme="majorBidi"/>
              </w:rPr>
              <w:t xml:space="preserve"> concentration. There are two types of </w:t>
            </w:r>
            <w:proofErr w:type="spellStart"/>
            <w:r w:rsidRPr="00510BF4">
              <w:rPr>
                <w:rFonts w:asciiTheme="majorBidi" w:eastAsia="Times New Roman" w:hAnsiTheme="majorBidi" w:cstheme="majorBidi"/>
              </w:rPr>
              <w:t>calcimimetics</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201" w:type="pct"/>
        <w:tblCellSpacing w:w="0" w:type="dxa"/>
        <w:tblCellMar>
          <w:left w:w="0" w:type="dxa"/>
          <w:right w:w="0" w:type="dxa"/>
        </w:tblCellMar>
        <w:tblLook w:val="04A0"/>
      </w:tblPr>
      <w:tblGrid>
        <w:gridCol w:w="8306"/>
        <w:gridCol w:w="334"/>
      </w:tblGrid>
      <w:tr w:rsidR="00C579D1" w:rsidRPr="00510BF4" w:rsidTr="00C579D1">
        <w:trPr>
          <w:gridAfter w:val="1"/>
          <w:wAfter w:w="193" w:type="pct"/>
          <w:tblCellSpacing w:w="0" w:type="dxa"/>
        </w:trPr>
        <w:tc>
          <w:tcPr>
            <w:tcW w:w="4807" w:type="pct"/>
            <w:shd w:val="clear" w:color="auto" w:fill="FFFFFF"/>
            <w:vAlign w:val="center"/>
            <w:hideMark/>
          </w:tcPr>
          <w:p w:rsidR="00C579D1" w:rsidRPr="00510BF4" w:rsidRDefault="00C579D1" w:rsidP="00510BF4">
            <w:pPr>
              <w:numPr>
                <w:ilvl w:val="0"/>
                <w:numId w:val="8"/>
              </w:numPr>
              <w:bidi w:val="0"/>
              <w:spacing w:before="100" w:beforeAutospacing="1" w:after="100" w:afterAutospacing="1" w:line="240" w:lineRule="auto"/>
              <w:jc w:val="both"/>
              <w:rPr>
                <w:rFonts w:asciiTheme="majorBidi" w:eastAsia="Times New Roman" w:hAnsiTheme="majorBidi" w:cstheme="majorBidi"/>
              </w:rPr>
            </w:pPr>
            <w:r w:rsidRPr="00510BF4">
              <w:rPr>
                <w:rFonts w:asciiTheme="majorBidi" w:eastAsia="Times New Roman" w:hAnsiTheme="majorBidi" w:cstheme="majorBidi"/>
              </w:rPr>
              <w:t xml:space="preserve">Type I </w:t>
            </w:r>
            <w:proofErr w:type="gramStart"/>
            <w:r w:rsidRPr="00510BF4">
              <w:rPr>
                <w:rFonts w:asciiTheme="majorBidi" w:eastAsia="Times New Roman" w:hAnsiTheme="majorBidi" w:cstheme="majorBidi"/>
              </w:rPr>
              <w:t>are</w:t>
            </w:r>
            <w:proofErr w:type="gramEnd"/>
            <w:r w:rsidRPr="00510BF4">
              <w:rPr>
                <w:rFonts w:asciiTheme="majorBidi" w:eastAsia="Times New Roman" w:hAnsiTheme="majorBidi" w:cstheme="majorBidi"/>
              </w:rPr>
              <w:t xml:space="preserve"> agonists, and include inorganic and organic </w:t>
            </w:r>
            <w:proofErr w:type="spellStart"/>
            <w:r w:rsidRPr="00510BF4">
              <w:rPr>
                <w:rFonts w:asciiTheme="majorBidi" w:eastAsia="Times New Roman" w:hAnsiTheme="majorBidi" w:cstheme="majorBidi"/>
              </w:rPr>
              <w:t>polycations</w:t>
            </w:r>
            <w:proofErr w:type="spellEnd"/>
            <w:r w:rsidRPr="00510BF4">
              <w:rPr>
                <w:rFonts w:asciiTheme="majorBidi" w:eastAsia="Times New Roman" w:hAnsiTheme="majorBidi" w:cstheme="majorBidi"/>
              </w:rPr>
              <w:t xml:space="preserve">. </w:t>
            </w:r>
          </w:p>
          <w:p w:rsidR="00C579D1" w:rsidRPr="00510BF4" w:rsidRDefault="00C579D1" w:rsidP="00510BF4">
            <w:pPr>
              <w:numPr>
                <w:ilvl w:val="0"/>
                <w:numId w:val="8"/>
              </w:numPr>
              <w:bidi w:val="0"/>
              <w:spacing w:before="100" w:beforeAutospacing="1" w:after="100" w:afterAutospacing="1" w:line="240" w:lineRule="auto"/>
              <w:jc w:val="both"/>
              <w:rPr>
                <w:rFonts w:asciiTheme="majorBidi" w:eastAsia="Times New Roman" w:hAnsiTheme="majorBidi" w:cstheme="majorBidi"/>
              </w:rPr>
            </w:pPr>
            <w:proofErr w:type="gramStart"/>
            <w:r w:rsidRPr="00510BF4">
              <w:rPr>
                <w:rFonts w:asciiTheme="majorBidi" w:eastAsia="Times New Roman" w:hAnsiTheme="majorBidi" w:cstheme="majorBidi"/>
              </w:rPr>
              <w:t>Type II are</w:t>
            </w:r>
            <w:proofErr w:type="gramEnd"/>
            <w:r w:rsidRPr="00510BF4">
              <w:rPr>
                <w:rFonts w:asciiTheme="majorBidi" w:eastAsia="Times New Roman" w:hAnsiTheme="majorBidi" w:cstheme="majorBidi"/>
              </w:rPr>
              <w:t xml:space="preserve"> </w:t>
            </w:r>
            <w:proofErr w:type="spellStart"/>
            <w:r w:rsidRPr="00510BF4">
              <w:rPr>
                <w:rFonts w:asciiTheme="majorBidi" w:eastAsia="Times New Roman" w:hAnsiTheme="majorBidi" w:cstheme="majorBidi"/>
              </w:rPr>
              <w:t>allosteric</w:t>
            </w:r>
            <w:proofErr w:type="spellEnd"/>
            <w:r w:rsidRPr="00510BF4">
              <w:rPr>
                <w:rFonts w:asciiTheme="majorBidi" w:eastAsia="Times New Roman" w:hAnsiTheme="majorBidi" w:cstheme="majorBidi"/>
              </w:rPr>
              <w:t xml:space="preserve"> activators that activate the receptor by altering its conformation. One such compound is </w:t>
            </w:r>
            <w:proofErr w:type="spellStart"/>
            <w:r w:rsidRPr="00510BF4">
              <w:rPr>
                <w:rFonts w:asciiTheme="majorBidi" w:eastAsia="Times New Roman" w:hAnsiTheme="majorBidi" w:cstheme="majorBidi"/>
              </w:rPr>
              <w:t>cinacalcet</w:t>
            </w:r>
            <w:proofErr w:type="spellEnd"/>
            <w:r w:rsidRPr="00510BF4">
              <w:rPr>
                <w:rFonts w:asciiTheme="majorBidi" w:eastAsia="Times New Roman" w:hAnsiTheme="majorBidi" w:cstheme="majorBidi"/>
              </w:rPr>
              <w:t xml:space="preserve">, which is in clinical trial for the treatment of hyperparathyroidism </w:t>
            </w:r>
          </w:p>
        </w:tc>
      </w:tr>
      <w:tr w:rsidR="00C579D1" w:rsidRPr="00510BF4" w:rsidTr="00C579D1">
        <w:trPr>
          <w:tblCellSpacing w:w="0" w:type="dxa"/>
        </w:trPr>
        <w:tc>
          <w:tcPr>
            <w:tcW w:w="5000" w:type="pct"/>
            <w:gridSpan w:val="2"/>
            <w:shd w:val="clear" w:color="auto" w:fill="FFFFFF"/>
            <w:vAlign w:val="center"/>
            <w:hideMark/>
          </w:tcPr>
          <w:p w:rsidR="00C579D1" w:rsidRPr="00D568A0" w:rsidRDefault="00C579D1" w:rsidP="00510BF4">
            <w:pPr>
              <w:bidi w:val="0"/>
              <w:spacing w:after="0" w:line="240" w:lineRule="auto"/>
              <w:jc w:val="both"/>
              <w:rPr>
                <w:rFonts w:asciiTheme="majorBidi" w:eastAsia="Times New Roman" w:hAnsiTheme="majorBidi" w:cstheme="majorBidi"/>
                <w:b/>
                <w:bCs/>
                <w:u w:val="single"/>
              </w:rPr>
            </w:pPr>
            <w:bookmarkStart w:id="102" w:name="HC031041"/>
            <w:bookmarkEnd w:id="102"/>
            <w:r w:rsidRPr="00D568A0">
              <w:rPr>
                <w:rFonts w:asciiTheme="majorBidi" w:eastAsia="Times New Roman" w:hAnsiTheme="majorBidi" w:cstheme="majorBidi"/>
                <w:b/>
                <w:bCs/>
                <w:u w:val="single"/>
              </w:rPr>
              <w:t xml:space="preserve">POTENTIAL NEW THERAPIES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3" w:name="HC031043"/>
            <w:bookmarkEnd w:id="103"/>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bookmarkStart w:id="104" w:name="B031004"/>
      <w:bookmarkEnd w:id="104"/>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vAlign w:val="center"/>
            <w:hideMark/>
          </w:tcPr>
          <w:p w:rsidR="00C579D1" w:rsidRPr="00510BF4" w:rsidRDefault="00BC63EC"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pict>
                <v:shape id="_x0000_i1056" type="#_x0000_t75" alt="" style="width:.75pt;height:7.5pt"/>
              </w:pic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5" w:name="P031078"/>
            <w:bookmarkEnd w:id="105"/>
            <w:r w:rsidRPr="00510BF4">
              <w:rPr>
                <w:rFonts w:asciiTheme="majorBidi" w:eastAsia="Times New Roman" w:hAnsiTheme="majorBidi" w:cstheme="majorBidi"/>
              </w:rPr>
              <w:t xml:space="preserve">There is growing interest in the possible value of anabolic compounds that stimulate bone formation-for use alone or in combination with the </w:t>
            </w:r>
            <w:proofErr w:type="spellStart"/>
            <w:r w:rsidRPr="00510BF4">
              <w:rPr>
                <w:rFonts w:asciiTheme="majorBidi" w:eastAsia="Times New Roman" w:hAnsiTheme="majorBidi" w:cstheme="majorBidi"/>
              </w:rPr>
              <w:t>antiresorptive</w:t>
            </w:r>
            <w:proofErr w:type="spellEnd"/>
            <w:r w:rsidRPr="00510BF4">
              <w:rPr>
                <w:rFonts w:asciiTheme="majorBidi" w:eastAsia="Times New Roman" w:hAnsiTheme="majorBidi" w:cstheme="majorBidi"/>
              </w:rPr>
              <w:t xml:space="preserve"> drugs </w:t>
            </w:r>
            <w:proofErr w:type="spellStart"/>
            <w:r w:rsidRPr="00510BF4">
              <w:rPr>
                <w:rFonts w:asciiTheme="majorBidi" w:eastAsia="Times New Roman" w:hAnsiTheme="majorBidi" w:cstheme="majorBidi"/>
              </w:rPr>
              <w:t>Teriparatide</w:t>
            </w:r>
            <w:proofErr w:type="spellEnd"/>
            <w:r w:rsidRPr="00510BF4">
              <w:rPr>
                <w:rFonts w:asciiTheme="majorBidi" w:eastAsia="Times New Roman" w:hAnsiTheme="majorBidi" w:cstheme="majorBidi"/>
              </w:rPr>
              <w:t xml:space="preserve">, the first anabolic compound licensed for osteoporosis, is already available for use. A new </w:t>
            </w:r>
            <w:proofErr w:type="spellStart"/>
            <w:r w:rsidRPr="00510BF4">
              <w:rPr>
                <w:rFonts w:asciiTheme="majorBidi" w:eastAsia="Times New Roman" w:hAnsiTheme="majorBidi" w:cstheme="majorBidi"/>
              </w:rPr>
              <w:t>antiresorptive</w:t>
            </w:r>
            <w:proofErr w:type="spellEnd"/>
            <w:r w:rsidRPr="00510BF4">
              <w:rPr>
                <w:rFonts w:asciiTheme="majorBidi" w:eastAsia="Times New Roman" w:hAnsiTheme="majorBidi" w:cstheme="majorBidi"/>
              </w:rPr>
              <w:t xml:space="preserve"> compound, an anti-RANKL antibody named </w:t>
            </w:r>
            <w:proofErr w:type="spellStart"/>
            <w:r w:rsidRPr="00510BF4">
              <w:rPr>
                <w:rFonts w:asciiTheme="majorBidi" w:eastAsia="Times New Roman" w:hAnsiTheme="majorBidi" w:cstheme="majorBidi"/>
              </w:rPr>
              <w:t>denosumab</w:t>
            </w:r>
            <w:proofErr w:type="spellEnd"/>
            <w:r w:rsidRPr="00510BF4">
              <w:rPr>
                <w:rFonts w:asciiTheme="majorBidi" w:eastAsia="Times New Roman" w:hAnsiTheme="majorBidi" w:cstheme="majorBidi"/>
              </w:rPr>
              <w:t xml:space="preserve">, is now available; this specifically blocks RANKL binding to RANK and is in phase III trial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29" w:type="pct"/>
        <w:tblCellSpacing w:w="0" w:type="dxa"/>
        <w:tblInd w:w="-1134" w:type="dxa"/>
        <w:tblCellMar>
          <w:left w:w="0" w:type="dxa"/>
          <w:right w:w="0" w:type="dxa"/>
        </w:tblCellMar>
        <w:tblLook w:val="04A0"/>
      </w:tblPr>
      <w:tblGrid>
        <w:gridCol w:w="10348"/>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6" w:name="P031079"/>
            <w:bookmarkEnd w:id="106"/>
            <w:r w:rsidRPr="00510BF4">
              <w:rPr>
                <w:rFonts w:asciiTheme="majorBidi" w:eastAsia="Times New Roman" w:hAnsiTheme="majorBidi" w:cstheme="majorBidi"/>
              </w:rPr>
              <w:t xml:space="preserve">Other potential anabolic agents being considered for future development are IGF-1 and insulin-like growth hormone and the </w:t>
            </w:r>
            <w:proofErr w:type="spellStart"/>
            <w:r w:rsidRPr="00510BF4">
              <w:rPr>
                <w:rFonts w:asciiTheme="majorBidi" w:eastAsia="Times New Roman" w:hAnsiTheme="majorBidi" w:cstheme="majorBidi"/>
              </w:rPr>
              <w:t>statins</w:t>
            </w:r>
            <w:proofErr w:type="spellEnd"/>
            <w:r w:rsidRPr="00510BF4">
              <w:rPr>
                <w:rFonts w:asciiTheme="majorBidi" w:eastAsia="Times New Roman" w:hAnsiTheme="majorBidi" w:cstheme="majorBidi"/>
              </w:rPr>
              <w:t xml:space="preserve">. These last, commonly given to reduce blood cholesterol have been shown to increase the gene expression of bone </w:t>
            </w:r>
            <w:proofErr w:type="spellStart"/>
            <w:r w:rsidRPr="00510BF4">
              <w:rPr>
                <w:rFonts w:asciiTheme="majorBidi" w:eastAsia="Times New Roman" w:hAnsiTheme="majorBidi" w:cstheme="majorBidi"/>
              </w:rPr>
              <w:t>morphogenic</w:t>
            </w:r>
            <w:proofErr w:type="spellEnd"/>
            <w:r w:rsidRPr="00510BF4">
              <w:rPr>
                <w:rFonts w:asciiTheme="majorBidi" w:eastAsia="Times New Roman" w:hAnsiTheme="majorBidi" w:cstheme="majorBidi"/>
              </w:rPr>
              <w:t xml:space="preserve"> protein-2, and to increase bone formation in vitro. </w:t>
            </w:r>
            <w:proofErr w:type="spellStart"/>
            <w:r w:rsidRPr="00510BF4">
              <w:rPr>
                <w:rFonts w:asciiTheme="majorBidi" w:eastAsia="Times New Roman" w:hAnsiTheme="majorBidi" w:cstheme="majorBidi"/>
              </w:rPr>
              <w:t>Thiazides</w:t>
            </w:r>
            <w:proofErr w:type="spellEnd"/>
            <w:r w:rsidRPr="00510BF4">
              <w:rPr>
                <w:rFonts w:asciiTheme="majorBidi" w:eastAsia="Times New Roman" w:hAnsiTheme="majorBidi" w:cstheme="majorBidi"/>
              </w:rPr>
              <w:t xml:space="preserve"> have a small effect in slowing bone loss and might be of value in combination therapy.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315" w:type="pct"/>
        <w:tblCellSpacing w:w="0" w:type="dxa"/>
        <w:tblInd w:w="-1134" w:type="dxa"/>
        <w:tblCellMar>
          <w:left w:w="0" w:type="dxa"/>
          <w:right w:w="0" w:type="dxa"/>
        </w:tblCellMar>
        <w:tblLook w:val="04A0"/>
      </w:tblPr>
      <w:tblGrid>
        <w:gridCol w:w="10490"/>
      </w:tblGrid>
      <w:tr w:rsidR="00C579D1" w:rsidRPr="00510BF4" w:rsidTr="00510BF4">
        <w:trPr>
          <w:tblCellSpacing w:w="0" w:type="dxa"/>
        </w:trPr>
        <w:tc>
          <w:tcPr>
            <w:tcW w:w="5000" w:type="pct"/>
            <w:shd w:val="clear" w:color="auto" w:fill="FFFFFF"/>
            <w:vAlign w:val="center"/>
            <w:hideMark/>
          </w:tcPr>
          <w:p w:rsidR="00970623" w:rsidRPr="00510BF4" w:rsidRDefault="00C579D1" w:rsidP="00510BF4">
            <w:pPr>
              <w:bidi w:val="0"/>
              <w:spacing w:after="0" w:line="240" w:lineRule="auto"/>
              <w:jc w:val="both"/>
              <w:rPr>
                <w:rFonts w:asciiTheme="majorBidi" w:eastAsia="Times New Roman" w:hAnsiTheme="majorBidi" w:cstheme="majorBidi"/>
              </w:rPr>
            </w:pPr>
            <w:bookmarkStart w:id="107" w:name="P031080"/>
            <w:bookmarkEnd w:id="107"/>
            <w:r w:rsidRPr="00510BF4">
              <w:rPr>
                <w:rFonts w:asciiTheme="majorBidi" w:eastAsia="Times New Roman" w:hAnsiTheme="majorBidi" w:cstheme="majorBidi"/>
              </w:rPr>
              <w:t xml:space="preserve">Possible new </w:t>
            </w:r>
            <w:proofErr w:type="spellStart"/>
            <w:r w:rsidRPr="00510BF4">
              <w:rPr>
                <w:rFonts w:asciiTheme="majorBidi" w:eastAsia="Times New Roman" w:hAnsiTheme="majorBidi" w:cstheme="majorBidi"/>
              </w:rPr>
              <w:t>antiresorptive</w:t>
            </w:r>
            <w:proofErr w:type="spellEnd"/>
            <w:r w:rsidRPr="00510BF4">
              <w:rPr>
                <w:rFonts w:asciiTheme="majorBidi" w:eastAsia="Times New Roman" w:hAnsiTheme="majorBidi" w:cstheme="majorBidi"/>
              </w:rPr>
              <w:t xml:space="preserve"> agents on the horizon include agents related to OPG-a physiological inhibitor of bone </w:t>
            </w:r>
            <w:proofErr w:type="spellStart"/>
            <w:r w:rsidRPr="00510BF4">
              <w:rPr>
                <w:rFonts w:asciiTheme="majorBidi" w:eastAsia="Times New Roman" w:hAnsiTheme="majorBidi" w:cstheme="majorBidi"/>
              </w:rPr>
              <w:t>resorption</w:t>
            </w:r>
            <w:proofErr w:type="spellEnd"/>
            <w:r w:rsidRPr="00510BF4">
              <w:rPr>
                <w:rFonts w:asciiTheme="majorBidi" w:eastAsia="Times New Roman" w:hAnsiTheme="majorBidi" w:cstheme="majorBidi"/>
              </w:rPr>
              <w:t xml:space="preserve">.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shd w:val="clear" w:color="auto" w:fill="FFFFFF"/>
            <w:vAlign w:val="center"/>
            <w:hideMark/>
          </w:tcPr>
          <w:p w:rsidR="00970623" w:rsidRPr="00510BF4" w:rsidRDefault="00970623" w:rsidP="00510BF4">
            <w:pPr>
              <w:bidi w:val="0"/>
              <w:spacing w:after="0" w:line="240" w:lineRule="auto"/>
              <w:jc w:val="both"/>
              <w:rPr>
                <w:rFonts w:asciiTheme="majorBidi" w:eastAsia="Times New Roman" w:hAnsiTheme="majorBidi" w:cstheme="majorBidi"/>
              </w:rPr>
            </w:pPr>
            <w:bookmarkStart w:id="108" w:name="HC031044"/>
            <w:bookmarkEnd w:id="108"/>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6229" w:type="pct"/>
        <w:tblCellSpacing w:w="0" w:type="dxa"/>
        <w:tblInd w:w="-1134" w:type="dxa"/>
        <w:tblCellMar>
          <w:left w:w="0" w:type="dxa"/>
          <w:right w:w="0" w:type="dxa"/>
        </w:tblCellMar>
        <w:tblLook w:val="04A0"/>
      </w:tblPr>
      <w:tblGrid>
        <w:gridCol w:w="10348"/>
      </w:tblGrid>
      <w:tr w:rsidR="00C579D1" w:rsidRPr="00510BF4" w:rsidTr="00510BF4">
        <w:trPr>
          <w:tblCellSpacing w:w="0" w:type="dxa"/>
        </w:trPr>
        <w:tc>
          <w:tcPr>
            <w:tcW w:w="5000" w:type="pct"/>
            <w:shd w:val="clear" w:color="auto" w:fill="FFFFFF"/>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09" w:name="P031081"/>
            <w:bookmarkEnd w:id="109"/>
            <w:r w:rsidRPr="00510BF4">
              <w:rPr>
                <w:rFonts w:asciiTheme="majorBidi" w:eastAsia="Times New Roman" w:hAnsiTheme="majorBidi" w:cstheme="majorBidi"/>
              </w:rPr>
              <w:t xml:space="preserve">Recombinant OPG has been tried in juvenile Paget's disease, with promising results </w:t>
            </w: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bookmarkStart w:id="110" w:name="B031005"/>
      <w:bookmarkEnd w:id="110"/>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p>
        </w:tc>
      </w:tr>
    </w:tbl>
    <w:p w:rsidR="00C579D1" w:rsidRPr="00510BF4" w:rsidRDefault="00C579D1" w:rsidP="00510BF4">
      <w:pPr>
        <w:bidi w:val="0"/>
        <w:spacing w:after="0" w:line="240" w:lineRule="auto"/>
        <w:jc w:val="both"/>
        <w:rPr>
          <w:rFonts w:asciiTheme="majorBidi" w:eastAsia="Times New Roman" w:hAnsiTheme="majorBidi" w:cstheme="majorBidi"/>
          <w:vanish/>
        </w:rPr>
      </w:pPr>
    </w:p>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0" w:type="auto"/>
            <w:vAlign w:val="center"/>
            <w:hideMark/>
          </w:tcPr>
          <w:p w:rsidR="00C579D1" w:rsidRPr="00510BF4" w:rsidRDefault="00C579D1" w:rsidP="00510BF4">
            <w:pPr>
              <w:bidi w:val="0"/>
              <w:spacing w:after="0" w:line="240" w:lineRule="auto"/>
              <w:jc w:val="both"/>
              <w:rPr>
                <w:rFonts w:asciiTheme="majorBidi" w:eastAsia="Times New Roman" w:hAnsiTheme="majorBidi" w:cstheme="majorBidi"/>
              </w:rPr>
            </w:pPr>
            <w:bookmarkStart w:id="111" w:name="B031006"/>
            <w:bookmarkEnd w:id="111"/>
          </w:p>
        </w:tc>
      </w:tr>
    </w:tbl>
    <w:p w:rsidR="00C579D1" w:rsidRPr="00510BF4" w:rsidRDefault="00C579D1" w:rsidP="00510BF4">
      <w:pPr>
        <w:bidi w:val="0"/>
        <w:spacing w:after="0" w:line="240" w:lineRule="auto"/>
        <w:jc w:val="both"/>
        <w:rPr>
          <w:rFonts w:asciiTheme="majorBidi" w:eastAsia="Times New Roman" w:hAnsiTheme="majorBidi" w:cstheme="majorBidi"/>
          <w:vanish/>
        </w:rPr>
      </w:pPr>
    </w:p>
    <w:tbl>
      <w:tblPr>
        <w:tblW w:w="5000" w:type="pct"/>
        <w:tblCellSpacing w:w="0" w:type="dxa"/>
        <w:tblCellMar>
          <w:left w:w="0" w:type="dxa"/>
          <w:right w:w="0" w:type="dxa"/>
        </w:tblCellMar>
        <w:tblLook w:val="04A0"/>
      </w:tblPr>
      <w:tblGrid>
        <w:gridCol w:w="8306"/>
      </w:tblGrid>
      <w:tr w:rsidR="00C579D1" w:rsidRPr="00510BF4">
        <w:trPr>
          <w:tblCellSpacing w:w="0" w:type="dxa"/>
        </w:trPr>
        <w:tc>
          <w:tcPr>
            <w:tcW w:w="5000" w:type="pct"/>
            <w:vAlign w:val="center"/>
            <w:hideMark/>
          </w:tcPr>
          <w:p w:rsidR="00C579D1" w:rsidRPr="00510BF4" w:rsidRDefault="00BC63EC" w:rsidP="00510BF4">
            <w:pPr>
              <w:bidi w:val="0"/>
              <w:spacing w:after="0" w:line="240" w:lineRule="auto"/>
              <w:jc w:val="both"/>
              <w:rPr>
                <w:rFonts w:asciiTheme="majorBidi" w:eastAsia="Times New Roman" w:hAnsiTheme="majorBidi" w:cstheme="majorBidi"/>
              </w:rPr>
            </w:pPr>
            <w:r w:rsidRPr="00510BF4">
              <w:rPr>
                <w:rFonts w:asciiTheme="majorBidi" w:eastAsia="Times New Roman" w:hAnsiTheme="majorBidi" w:cstheme="majorBidi"/>
              </w:rPr>
              <w:pict>
                <v:shape id="_x0000_i1058" type="#_x0000_t75" alt="" style="width:.75pt;height:7.5pt"/>
              </w:pict>
            </w:r>
          </w:p>
        </w:tc>
      </w:tr>
    </w:tbl>
    <w:p w:rsidR="00981E8C" w:rsidRPr="00D568A0" w:rsidRDefault="00510BF4" w:rsidP="00510BF4">
      <w:pPr>
        <w:bidi w:val="0"/>
        <w:spacing w:line="240" w:lineRule="auto"/>
        <w:ind w:left="-709"/>
        <w:jc w:val="both"/>
        <w:rPr>
          <w:rFonts w:asciiTheme="majorBidi" w:hAnsiTheme="majorBidi" w:cstheme="majorBidi"/>
          <w:b/>
          <w:bCs/>
          <w:u w:val="single"/>
        </w:rPr>
      </w:pPr>
      <w:r w:rsidRPr="00D568A0">
        <w:rPr>
          <w:rFonts w:asciiTheme="majorBidi" w:hAnsiTheme="majorBidi" w:cstheme="majorBidi"/>
          <w:b/>
          <w:bCs/>
          <w:u w:val="single"/>
        </w:rPr>
        <w:t>Conclusions</w:t>
      </w:r>
    </w:p>
    <w:p w:rsidR="00981E8C" w:rsidRPr="00510BF4" w:rsidRDefault="00981E8C" w:rsidP="00510BF4">
      <w:pPr>
        <w:pStyle w:val="ListParagraph"/>
        <w:numPr>
          <w:ilvl w:val="0"/>
          <w:numId w:val="12"/>
        </w:numPr>
        <w:spacing w:line="240" w:lineRule="auto"/>
        <w:ind w:left="-709"/>
        <w:jc w:val="both"/>
        <w:rPr>
          <w:rFonts w:asciiTheme="majorBidi" w:hAnsiTheme="majorBidi" w:cstheme="majorBidi"/>
        </w:rPr>
      </w:pPr>
      <w:r w:rsidRPr="00510BF4">
        <w:rPr>
          <w:rFonts w:asciiTheme="majorBidi" w:hAnsiTheme="majorBidi" w:cstheme="majorBidi"/>
        </w:rPr>
        <w:t>Osteoporosis is ↓ bone mass lead to bone fragility, more in postmenopausal female.</w:t>
      </w:r>
    </w:p>
    <w:p w:rsidR="00981E8C" w:rsidRPr="00510BF4" w:rsidRDefault="00981E8C" w:rsidP="00510BF4">
      <w:pPr>
        <w:pStyle w:val="ListParagraph"/>
        <w:numPr>
          <w:ilvl w:val="0"/>
          <w:numId w:val="12"/>
        </w:numPr>
        <w:spacing w:line="240" w:lineRule="auto"/>
        <w:ind w:left="-709"/>
        <w:jc w:val="both"/>
        <w:rPr>
          <w:rFonts w:asciiTheme="majorBidi" w:hAnsiTheme="majorBidi" w:cstheme="majorBidi"/>
        </w:rPr>
      </w:pPr>
      <w:r w:rsidRPr="00510BF4">
        <w:rPr>
          <w:rFonts w:asciiTheme="majorBidi" w:hAnsiTheme="majorBidi" w:cstheme="majorBidi"/>
        </w:rPr>
        <w:t>The drugs used for osteoporosis are:</w:t>
      </w:r>
    </w:p>
    <w:p w:rsidR="00981E8C" w:rsidRPr="00510BF4" w:rsidRDefault="00981E8C" w:rsidP="00510BF4">
      <w:pPr>
        <w:pStyle w:val="ListParagraph"/>
        <w:numPr>
          <w:ilvl w:val="0"/>
          <w:numId w:val="13"/>
        </w:numPr>
        <w:spacing w:line="240" w:lineRule="auto"/>
        <w:ind w:left="-709"/>
        <w:jc w:val="both"/>
        <w:rPr>
          <w:rFonts w:asciiTheme="majorBidi" w:hAnsiTheme="majorBidi" w:cstheme="majorBidi"/>
        </w:rPr>
      </w:pPr>
      <w:proofErr w:type="spellStart"/>
      <w:r w:rsidRPr="000B138B">
        <w:rPr>
          <w:rFonts w:asciiTheme="majorBidi" w:hAnsiTheme="majorBidi" w:cstheme="majorBidi"/>
          <w:b/>
          <w:bCs/>
        </w:rPr>
        <w:t>Biphosphonate</w:t>
      </w:r>
      <w:proofErr w:type="spellEnd"/>
      <w:r w:rsidRPr="00510BF4">
        <w:rPr>
          <w:rFonts w:asciiTheme="majorBidi" w:hAnsiTheme="majorBidi" w:cstheme="majorBidi"/>
        </w:rPr>
        <w:t>:(</w:t>
      </w:r>
      <w:proofErr w:type="spellStart"/>
      <w:r w:rsidRPr="00510BF4">
        <w:rPr>
          <w:rFonts w:asciiTheme="majorBidi" w:hAnsiTheme="majorBidi" w:cstheme="majorBidi"/>
        </w:rPr>
        <w:t>etidronate,alendronate</w:t>
      </w:r>
      <w:proofErr w:type="spellEnd"/>
      <w:r w:rsidRPr="00510BF4">
        <w:rPr>
          <w:rFonts w:asciiTheme="majorBidi" w:hAnsiTheme="majorBidi" w:cstheme="majorBidi"/>
        </w:rPr>
        <w:t xml:space="preserve">, </w:t>
      </w:r>
      <w:proofErr w:type="spellStart"/>
      <w:r w:rsidRPr="00510BF4">
        <w:rPr>
          <w:rFonts w:asciiTheme="majorBidi" w:hAnsiTheme="majorBidi" w:cstheme="majorBidi"/>
        </w:rPr>
        <w:t>risedronate</w:t>
      </w:r>
      <w:proofErr w:type="spellEnd"/>
      <w:r w:rsidRPr="00510BF4">
        <w:rPr>
          <w:rFonts w:asciiTheme="majorBidi" w:hAnsiTheme="majorBidi" w:cstheme="majorBidi"/>
        </w:rPr>
        <w:t>), these act by:</w:t>
      </w:r>
    </w:p>
    <w:p w:rsidR="00981E8C" w:rsidRPr="00510BF4" w:rsidRDefault="00981E8C" w:rsidP="00510BF4">
      <w:pPr>
        <w:pStyle w:val="ListParagraph"/>
        <w:numPr>
          <w:ilvl w:val="0"/>
          <w:numId w:val="14"/>
        </w:numPr>
        <w:spacing w:line="240" w:lineRule="auto"/>
        <w:ind w:left="-709"/>
        <w:jc w:val="both"/>
        <w:rPr>
          <w:rFonts w:asciiTheme="majorBidi" w:hAnsiTheme="majorBidi" w:cstheme="majorBidi"/>
        </w:rPr>
      </w:pPr>
      <w:r w:rsidRPr="00510BF4">
        <w:rPr>
          <w:rFonts w:asciiTheme="majorBidi" w:hAnsiTheme="majorBidi" w:cstheme="majorBidi"/>
        </w:rPr>
        <w:t xml:space="preserve">Inhibition of </w:t>
      </w:r>
      <w:proofErr w:type="spellStart"/>
      <w:r w:rsidRPr="00510BF4">
        <w:rPr>
          <w:rFonts w:asciiTheme="majorBidi" w:hAnsiTheme="majorBidi" w:cstheme="majorBidi"/>
        </w:rPr>
        <w:t>osteoclast</w:t>
      </w:r>
      <w:proofErr w:type="spellEnd"/>
      <w:r w:rsidRPr="00510BF4">
        <w:rPr>
          <w:rFonts w:asciiTheme="majorBidi" w:hAnsiTheme="majorBidi" w:cstheme="majorBidi"/>
        </w:rPr>
        <w:t xml:space="preserve"> proton pump.</w:t>
      </w:r>
    </w:p>
    <w:p w:rsidR="00981E8C" w:rsidRPr="00510BF4" w:rsidRDefault="00981E8C" w:rsidP="00510BF4">
      <w:pPr>
        <w:pStyle w:val="ListParagraph"/>
        <w:numPr>
          <w:ilvl w:val="0"/>
          <w:numId w:val="14"/>
        </w:numPr>
        <w:spacing w:line="240" w:lineRule="auto"/>
        <w:ind w:left="-709"/>
        <w:jc w:val="both"/>
        <w:rPr>
          <w:rFonts w:asciiTheme="majorBidi" w:hAnsiTheme="majorBidi" w:cstheme="majorBidi"/>
        </w:rPr>
      </w:pPr>
      <w:r w:rsidRPr="00510BF4">
        <w:rPr>
          <w:rFonts w:asciiTheme="majorBidi" w:hAnsiTheme="majorBidi" w:cstheme="majorBidi"/>
        </w:rPr>
        <w:t xml:space="preserve">↓ </w:t>
      </w:r>
      <w:proofErr w:type="spellStart"/>
      <w:r w:rsidRPr="00510BF4">
        <w:rPr>
          <w:rFonts w:asciiTheme="majorBidi" w:hAnsiTheme="majorBidi" w:cstheme="majorBidi"/>
        </w:rPr>
        <w:t>Osteoclast</w:t>
      </w:r>
      <w:proofErr w:type="spellEnd"/>
      <w:r w:rsidRPr="00510BF4">
        <w:rPr>
          <w:rFonts w:asciiTheme="majorBidi" w:hAnsiTheme="majorBidi" w:cstheme="majorBidi"/>
        </w:rPr>
        <w:t xml:space="preserve"> cell formation.</w:t>
      </w:r>
    </w:p>
    <w:p w:rsidR="00981E8C" w:rsidRPr="00510BF4" w:rsidRDefault="00981E8C" w:rsidP="00510BF4">
      <w:pPr>
        <w:pStyle w:val="ListParagraph"/>
        <w:numPr>
          <w:ilvl w:val="0"/>
          <w:numId w:val="14"/>
        </w:numPr>
        <w:spacing w:line="240" w:lineRule="auto"/>
        <w:ind w:left="-709"/>
        <w:jc w:val="both"/>
        <w:rPr>
          <w:rFonts w:asciiTheme="majorBidi" w:hAnsiTheme="majorBidi" w:cstheme="majorBidi"/>
        </w:rPr>
      </w:pPr>
      <w:r w:rsidRPr="00510BF4">
        <w:rPr>
          <w:rFonts w:asciiTheme="majorBidi" w:hAnsiTheme="majorBidi" w:cstheme="majorBidi"/>
        </w:rPr>
        <w:t xml:space="preserve">↓ </w:t>
      </w:r>
      <w:proofErr w:type="spellStart"/>
      <w:r w:rsidRPr="00510BF4">
        <w:rPr>
          <w:rFonts w:asciiTheme="majorBidi" w:hAnsiTheme="majorBidi" w:cstheme="majorBidi"/>
        </w:rPr>
        <w:t>Osteoclast</w:t>
      </w:r>
      <w:proofErr w:type="spellEnd"/>
      <w:r w:rsidRPr="00510BF4">
        <w:rPr>
          <w:rFonts w:asciiTheme="majorBidi" w:hAnsiTheme="majorBidi" w:cstheme="majorBidi"/>
        </w:rPr>
        <w:t xml:space="preserve"> cell activation.</w:t>
      </w:r>
    </w:p>
    <w:p w:rsidR="00981E8C" w:rsidRPr="00510BF4" w:rsidRDefault="00981E8C" w:rsidP="00510BF4">
      <w:pPr>
        <w:bidi w:val="0"/>
        <w:spacing w:line="240" w:lineRule="auto"/>
        <w:ind w:left="-709"/>
        <w:jc w:val="both"/>
        <w:rPr>
          <w:rFonts w:asciiTheme="majorBidi" w:hAnsiTheme="majorBidi" w:cstheme="majorBidi"/>
        </w:rPr>
      </w:pPr>
      <w:r w:rsidRPr="00510BF4">
        <w:rPr>
          <w:rFonts w:asciiTheme="majorBidi" w:hAnsiTheme="majorBidi" w:cstheme="majorBidi"/>
        </w:rPr>
        <w:t>All are orally active, rapid bind to bone mineral.</w:t>
      </w:r>
    </w:p>
    <w:p w:rsidR="00981E8C" w:rsidRPr="00510BF4" w:rsidRDefault="00981E8C" w:rsidP="00510BF4">
      <w:pPr>
        <w:bidi w:val="0"/>
        <w:spacing w:line="240" w:lineRule="auto"/>
        <w:ind w:left="-709"/>
        <w:jc w:val="both"/>
        <w:rPr>
          <w:rFonts w:asciiTheme="majorBidi" w:hAnsiTheme="majorBidi" w:cstheme="majorBidi"/>
        </w:rPr>
      </w:pPr>
      <w:r w:rsidRPr="00510BF4">
        <w:rPr>
          <w:rFonts w:asciiTheme="majorBidi" w:hAnsiTheme="majorBidi" w:cstheme="majorBidi"/>
        </w:rPr>
        <w:t>Indications:</w:t>
      </w:r>
    </w:p>
    <w:p w:rsidR="00981E8C" w:rsidRPr="000B138B" w:rsidRDefault="00981E8C" w:rsidP="000B138B">
      <w:pPr>
        <w:pStyle w:val="ListParagraph"/>
        <w:numPr>
          <w:ilvl w:val="0"/>
          <w:numId w:val="19"/>
        </w:numPr>
        <w:spacing w:line="240" w:lineRule="auto"/>
        <w:jc w:val="both"/>
        <w:rPr>
          <w:rFonts w:asciiTheme="majorBidi" w:hAnsiTheme="majorBidi" w:cstheme="majorBidi"/>
        </w:rPr>
      </w:pPr>
      <w:proofErr w:type="spellStart"/>
      <w:r w:rsidRPr="000B138B">
        <w:rPr>
          <w:rFonts w:asciiTheme="majorBidi" w:hAnsiTheme="majorBidi" w:cstheme="majorBidi"/>
        </w:rPr>
        <w:t>Pagets</w:t>
      </w:r>
      <w:proofErr w:type="spellEnd"/>
      <w:r w:rsidRPr="000B138B">
        <w:rPr>
          <w:rFonts w:asciiTheme="majorBidi" w:hAnsiTheme="majorBidi" w:cstheme="majorBidi"/>
        </w:rPr>
        <w:t xml:space="preserve"> </w:t>
      </w:r>
      <w:proofErr w:type="gramStart"/>
      <w:r w:rsidRPr="000B138B">
        <w:rPr>
          <w:rFonts w:asciiTheme="majorBidi" w:hAnsiTheme="majorBidi" w:cstheme="majorBidi"/>
        </w:rPr>
        <w:t>disease</w:t>
      </w:r>
      <w:r w:rsidR="000B138B" w:rsidRPr="000B138B">
        <w:rPr>
          <w:rFonts w:asciiTheme="majorBidi" w:hAnsiTheme="majorBidi" w:cstheme="majorBidi"/>
        </w:rPr>
        <w:t xml:space="preserve"> ,</w:t>
      </w:r>
      <w:proofErr w:type="gramEnd"/>
      <w:r w:rsidR="000B138B" w:rsidRPr="000B138B">
        <w:rPr>
          <w:rFonts w:asciiTheme="majorBidi" w:hAnsiTheme="majorBidi" w:cstheme="majorBidi"/>
        </w:rPr>
        <w:t xml:space="preserve"> </w:t>
      </w:r>
      <w:proofErr w:type="spellStart"/>
      <w:r w:rsidRPr="000B138B">
        <w:rPr>
          <w:rFonts w:asciiTheme="majorBidi" w:hAnsiTheme="majorBidi" w:cstheme="majorBidi"/>
        </w:rPr>
        <w:t>Ostepporosis</w:t>
      </w:r>
      <w:proofErr w:type="spellEnd"/>
      <w:r w:rsidRPr="000B138B">
        <w:rPr>
          <w:rFonts w:asciiTheme="majorBidi" w:hAnsiTheme="majorBidi" w:cstheme="majorBidi"/>
        </w:rPr>
        <w:t>.</w:t>
      </w:r>
      <w:r w:rsidR="000B138B" w:rsidRPr="000B138B">
        <w:rPr>
          <w:rFonts w:asciiTheme="majorBidi" w:hAnsiTheme="majorBidi" w:cstheme="majorBidi"/>
        </w:rPr>
        <w:t>,</w:t>
      </w:r>
      <w:r w:rsidR="000B138B">
        <w:rPr>
          <w:rFonts w:asciiTheme="majorBidi" w:hAnsiTheme="majorBidi" w:cstheme="majorBidi"/>
        </w:rPr>
        <w:t xml:space="preserve"> </w:t>
      </w:r>
      <w:r w:rsidRPr="000B138B">
        <w:rPr>
          <w:rFonts w:asciiTheme="majorBidi" w:hAnsiTheme="majorBidi" w:cstheme="majorBidi"/>
        </w:rPr>
        <w:t>Breast cancer metastasis.</w:t>
      </w:r>
    </w:p>
    <w:p w:rsidR="00981E8C" w:rsidRPr="00510BF4" w:rsidRDefault="00981E8C" w:rsidP="00510BF4">
      <w:pPr>
        <w:pStyle w:val="ListParagraph"/>
        <w:numPr>
          <w:ilvl w:val="0"/>
          <w:numId w:val="13"/>
        </w:numPr>
        <w:spacing w:line="240" w:lineRule="auto"/>
        <w:ind w:left="-709"/>
        <w:jc w:val="both"/>
        <w:rPr>
          <w:rFonts w:asciiTheme="majorBidi" w:hAnsiTheme="majorBidi" w:cstheme="majorBidi"/>
        </w:rPr>
      </w:pPr>
      <w:proofErr w:type="spellStart"/>
      <w:r w:rsidRPr="000B138B">
        <w:rPr>
          <w:rFonts w:asciiTheme="majorBidi" w:hAnsiTheme="majorBidi" w:cstheme="majorBidi"/>
          <w:b/>
          <w:bCs/>
        </w:rPr>
        <w:t>Teriparatide</w:t>
      </w:r>
      <w:proofErr w:type="spellEnd"/>
      <w:r w:rsidRPr="00510BF4">
        <w:rPr>
          <w:rFonts w:asciiTheme="majorBidi" w:hAnsiTheme="majorBidi" w:cstheme="majorBidi"/>
        </w:rPr>
        <w:t>: its recombinant segment of parathyroid hormone, stimulate bone formation and ↑ spinal density.</w:t>
      </w:r>
    </w:p>
    <w:p w:rsidR="00981E8C" w:rsidRPr="00510BF4" w:rsidRDefault="00981E8C" w:rsidP="00510BF4">
      <w:pPr>
        <w:pStyle w:val="ListParagraph"/>
        <w:spacing w:line="240" w:lineRule="auto"/>
        <w:ind w:left="-709"/>
        <w:jc w:val="both"/>
        <w:rPr>
          <w:rFonts w:asciiTheme="majorBidi" w:hAnsiTheme="majorBidi" w:cstheme="majorBidi"/>
        </w:rPr>
      </w:pPr>
      <w:r w:rsidRPr="00510BF4">
        <w:rPr>
          <w:rFonts w:asciiTheme="majorBidi" w:hAnsiTheme="majorBidi" w:cstheme="majorBidi"/>
        </w:rPr>
        <w:t>Uses:</w:t>
      </w:r>
    </w:p>
    <w:p w:rsidR="00981E8C" w:rsidRPr="000B138B" w:rsidRDefault="00981E8C" w:rsidP="00510BF4">
      <w:pPr>
        <w:pStyle w:val="ListParagraph"/>
        <w:numPr>
          <w:ilvl w:val="0"/>
          <w:numId w:val="16"/>
        </w:numPr>
        <w:spacing w:line="240" w:lineRule="auto"/>
        <w:ind w:left="-709"/>
        <w:jc w:val="both"/>
        <w:rPr>
          <w:rFonts w:asciiTheme="majorBidi" w:hAnsiTheme="majorBidi" w:cstheme="majorBidi"/>
        </w:rPr>
      </w:pPr>
      <w:r w:rsidRPr="000B138B">
        <w:rPr>
          <w:rFonts w:asciiTheme="majorBidi" w:hAnsiTheme="majorBidi" w:cstheme="majorBidi"/>
        </w:rPr>
        <w:t>Prevent vertebral fracture</w:t>
      </w:r>
      <w:r w:rsidR="000B138B" w:rsidRPr="000B138B">
        <w:rPr>
          <w:rFonts w:asciiTheme="majorBidi" w:hAnsiTheme="majorBidi" w:cstheme="majorBidi"/>
        </w:rPr>
        <w:t>,</w:t>
      </w:r>
      <w:r w:rsidR="000B138B">
        <w:rPr>
          <w:rFonts w:asciiTheme="majorBidi" w:hAnsiTheme="majorBidi" w:cstheme="majorBidi"/>
        </w:rPr>
        <w:t xml:space="preserve"> </w:t>
      </w:r>
      <w:r w:rsidRPr="000B138B">
        <w:rPr>
          <w:rFonts w:asciiTheme="majorBidi" w:hAnsiTheme="majorBidi" w:cstheme="majorBidi"/>
        </w:rPr>
        <w:t xml:space="preserve">Treat </w:t>
      </w:r>
      <w:proofErr w:type="spellStart"/>
      <w:r w:rsidRPr="000B138B">
        <w:rPr>
          <w:rFonts w:asciiTheme="majorBidi" w:hAnsiTheme="majorBidi" w:cstheme="majorBidi"/>
        </w:rPr>
        <w:t>glucocorticoid</w:t>
      </w:r>
      <w:proofErr w:type="spellEnd"/>
      <w:r w:rsidRPr="000B138B">
        <w:rPr>
          <w:rFonts w:asciiTheme="majorBidi" w:hAnsiTheme="majorBidi" w:cstheme="majorBidi"/>
        </w:rPr>
        <w:t xml:space="preserve"> induced osteoporosis.</w:t>
      </w:r>
    </w:p>
    <w:p w:rsidR="00981E8C" w:rsidRPr="000B138B" w:rsidRDefault="00981E8C" w:rsidP="00510BF4">
      <w:pPr>
        <w:pStyle w:val="ListParagraph"/>
        <w:numPr>
          <w:ilvl w:val="0"/>
          <w:numId w:val="13"/>
        </w:numPr>
        <w:spacing w:line="240" w:lineRule="auto"/>
        <w:ind w:left="-709"/>
        <w:jc w:val="both"/>
        <w:rPr>
          <w:rFonts w:asciiTheme="majorBidi" w:hAnsiTheme="majorBidi" w:cstheme="majorBidi"/>
          <w:b/>
          <w:bCs/>
        </w:rPr>
      </w:pPr>
      <w:r w:rsidRPr="000B138B">
        <w:rPr>
          <w:rFonts w:asciiTheme="majorBidi" w:hAnsiTheme="majorBidi" w:cstheme="majorBidi"/>
          <w:b/>
          <w:bCs/>
        </w:rPr>
        <w:t>Selective estrogen receptor modulator (SERM):</w:t>
      </w:r>
    </w:p>
    <w:p w:rsidR="00981E8C" w:rsidRPr="00510BF4" w:rsidRDefault="00981E8C" w:rsidP="00510BF4">
      <w:pPr>
        <w:pStyle w:val="ListParagraph"/>
        <w:numPr>
          <w:ilvl w:val="0"/>
          <w:numId w:val="17"/>
        </w:numPr>
        <w:spacing w:line="240" w:lineRule="auto"/>
        <w:ind w:left="-709"/>
        <w:jc w:val="both"/>
        <w:rPr>
          <w:rFonts w:asciiTheme="majorBidi" w:hAnsiTheme="majorBidi" w:cstheme="majorBidi"/>
        </w:rPr>
      </w:pPr>
      <w:proofErr w:type="gramStart"/>
      <w:r w:rsidRPr="00510BF4">
        <w:rPr>
          <w:rFonts w:asciiTheme="majorBidi" w:hAnsiTheme="majorBidi" w:cstheme="majorBidi"/>
        </w:rPr>
        <w:t>only</w:t>
      </w:r>
      <w:proofErr w:type="gramEnd"/>
      <w:r w:rsidRPr="00510BF4">
        <w:rPr>
          <w:rFonts w:asciiTheme="majorBidi" w:hAnsiTheme="majorBidi" w:cstheme="majorBidi"/>
        </w:rPr>
        <w:t xml:space="preserve">. </w:t>
      </w:r>
      <w:proofErr w:type="spellStart"/>
      <w:r w:rsidRPr="00510BF4">
        <w:rPr>
          <w:rFonts w:asciiTheme="majorBidi" w:hAnsiTheme="majorBidi" w:cstheme="majorBidi"/>
        </w:rPr>
        <w:t>Rolexifen</w:t>
      </w:r>
      <w:proofErr w:type="spellEnd"/>
      <w:r w:rsidRPr="00510BF4">
        <w:rPr>
          <w:rFonts w:asciiTheme="majorBidi" w:hAnsiTheme="majorBidi" w:cstheme="majorBidi"/>
        </w:rPr>
        <w:t xml:space="preserve"> prevent and treat osteoporosis.</w:t>
      </w:r>
    </w:p>
    <w:p w:rsidR="00981E8C" w:rsidRPr="000B138B" w:rsidRDefault="00981E8C" w:rsidP="00510BF4">
      <w:pPr>
        <w:pStyle w:val="ListParagraph"/>
        <w:numPr>
          <w:ilvl w:val="0"/>
          <w:numId w:val="17"/>
        </w:numPr>
        <w:spacing w:line="240" w:lineRule="auto"/>
        <w:ind w:left="-709"/>
        <w:jc w:val="both"/>
        <w:rPr>
          <w:rFonts w:asciiTheme="majorBidi" w:hAnsiTheme="majorBidi" w:cstheme="majorBidi"/>
        </w:rPr>
      </w:pPr>
      <w:r w:rsidRPr="000B138B">
        <w:rPr>
          <w:rFonts w:asciiTheme="majorBidi" w:hAnsiTheme="majorBidi" w:cstheme="majorBidi"/>
        </w:rPr>
        <w:t>Not ↑ risk of estrogen side effect.</w:t>
      </w:r>
      <w:r w:rsidR="000B138B">
        <w:rPr>
          <w:rFonts w:asciiTheme="majorBidi" w:hAnsiTheme="majorBidi" w:cstheme="majorBidi"/>
        </w:rPr>
        <w:t xml:space="preserve"> </w:t>
      </w:r>
      <w:r w:rsidRPr="000B138B">
        <w:rPr>
          <w:rFonts w:asciiTheme="majorBidi" w:hAnsiTheme="majorBidi" w:cstheme="majorBidi"/>
        </w:rPr>
        <w:t>It acts on bone</w:t>
      </w:r>
    </w:p>
    <w:p w:rsidR="00981E8C" w:rsidRPr="000B138B" w:rsidRDefault="00981E8C" w:rsidP="00510BF4">
      <w:pPr>
        <w:pStyle w:val="ListParagraph"/>
        <w:numPr>
          <w:ilvl w:val="0"/>
          <w:numId w:val="18"/>
        </w:numPr>
        <w:spacing w:line="240" w:lineRule="auto"/>
        <w:ind w:left="-709"/>
        <w:jc w:val="both"/>
        <w:rPr>
          <w:rFonts w:asciiTheme="majorBidi" w:hAnsiTheme="majorBidi" w:cstheme="majorBidi"/>
        </w:rPr>
      </w:pPr>
      <w:proofErr w:type="spellStart"/>
      <w:r w:rsidRPr="000B138B">
        <w:rPr>
          <w:rFonts w:asciiTheme="majorBidi" w:hAnsiTheme="majorBidi" w:cstheme="majorBidi"/>
          <w:b/>
          <w:bCs/>
        </w:rPr>
        <w:t>Calcitonin</w:t>
      </w:r>
      <w:proofErr w:type="spellEnd"/>
      <w:r w:rsidRPr="000B138B">
        <w:rPr>
          <w:rFonts w:asciiTheme="majorBidi" w:hAnsiTheme="majorBidi" w:cstheme="majorBidi"/>
          <w:b/>
          <w:bCs/>
        </w:rPr>
        <w:t>:</w:t>
      </w:r>
      <w:r w:rsidR="000B138B" w:rsidRPr="000B138B">
        <w:rPr>
          <w:rFonts w:asciiTheme="majorBidi" w:hAnsiTheme="majorBidi" w:cstheme="majorBidi"/>
        </w:rPr>
        <w:t xml:space="preserve"> </w:t>
      </w:r>
      <w:r w:rsidRPr="000B138B">
        <w:rPr>
          <w:rFonts w:asciiTheme="majorBidi" w:hAnsiTheme="majorBidi" w:cstheme="majorBidi"/>
        </w:rPr>
        <w:t>Prevent and treat osteoporosis.</w:t>
      </w:r>
      <w:r w:rsidR="000B138B" w:rsidRPr="000B138B">
        <w:rPr>
          <w:rFonts w:asciiTheme="majorBidi" w:hAnsiTheme="majorBidi" w:cstheme="majorBidi"/>
        </w:rPr>
        <w:t xml:space="preserve"> </w:t>
      </w:r>
      <w:r w:rsidRPr="000B138B">
        <w:rPr>
          <w:rFonts w:asciiTheme="majorBidi" w:hAnsiTheme="majorBidi" w:cstheme="majorBidi"/>
        </w:rPr>
        <w:t>Given intravenously.</w:t>
      </w:r>
      <w:r w:rsidR="000B138B">
        <w:rPr>
          <w:rFonts w:asciiTheme="majorBidi" w:hAnsiTheme="majorBidi" w:cstheme="majorBidi"/>
        </w:rPr>
        <w:t xml:space="preserve"> </w:t>
      </w:r>
      <w:r w:rsidRPr="000B138B">
        <w:rPr>
          <w:rFonts w:asciiTheme="majorBidi" w:hAnsiTheme="majorBidi" w:cstheme="majorBidi"/>
        </w:rPr>
        <w:t xml:space="preserve">↓ Bone </w:t>
      </w:r>
      <w:proofErr w:type="spellStart"/>
      <w:r w:rsidRPr="000B138B">
        <w:rPr>
          <w:rFonts w:asciiTheme="majorBidi" w:hAnsiTheme="majorBidi" w:cstheme="majorBidi"/>
        </w:rPr>
        <w:t>resorption</w:t>
      </w:r>
      <w:proofErr w:type="spellEnd"/>
      <w:r w:rsidRPr="000B138B">
        <w:rPr>
          <w:rFonts w:asciiTheme="majorBidi" w:hAnsiTheme="majorBidi" w:cstheme="majorBidi"/>
        </w:rPr>
        <w:t xml:space="preserve"> and ↑ bone formation.</w:t>
      </w:r>
    </w:p>
    <w:p w:rsidR="00981E8C" w:rsidRPr="00510BF4" w:rsidRDefault="00981E8C" w:rsidP="00510BF4">
      <w:pPr>
        <w:pStyle w:val="ListParagraph"/>
        <w:numPr>
          <w:ilvl w:val="0"/>
          <w:numId w:val="18"/>
        </w:numPr>
        <w:pBdr>
          <w:bottom w:val="single" w:sz="4" w:space="1" w:color="auto"/>
        </w:pBdr>
        <w:spacing w:line="240" w:lineRule="auto"/>
        <w:ind w:left="-709"/>
        <w:jc w:val="both"/>
        <w:rPr>
          <w:rFonts w:asciiTheme="majorBidi" w:hAnsiTheme="majorBidi" w:cstheme="majorBidi"/>
        </w:rPr>
      </w:pPr>
      <w:r w:rsidRPr="00510BF4">
        <w:rPr>
          <w:rFonts w:asciiTheme="majorBidi" w:hAnsiTheme="majorBidi" w:cstheme="majorBidi"/>
        </w:rPr>
        <w:t>Tolerance occurred within long therapy.</w:t>
      </w:r>
    </w:p>
    <w:sectPr w:rsidR="00981E8C" w:rsidRPr="00510BF4" w:rsidSect="00E64E17">
      <w:headerReference w:type="default" r:id="rId32"/>
      <w:footerReference w:type="default" r:id="rId33"/>
      <w:pgSz w:w="11906" w:h="16838"/>
      <w:pgMar w:top="1440" w:right="1800" w:bottom="1440" w:left="1800" w:header="708" w:footer="708"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FF7" w:rsidRDefault="00BD7FF7" w:rsidP="00970623">
      <w:pPr>
        <w:spacing w:after="0" w:line="240" w:lineRule="auto"/>
      </w:pPr>
      <w:r>
        <w:separator/>
      </w:r>
    </w:p>
  </w:endnote>
  <w:endnote w:type="continuationSeparator" w:id="1">
    <w:p w:rsidR="00BD7FF7" w:rsidRDefault="00BD7FF7" w:rsidP="00970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515"/>
      <w:docPartObj>
        <w:docPartGallery w:val="Page Numbers (Bottom of Page)"/>
        <w:docPartUnique/>
      </w:docPartObj>
    </w:sdtPr>
    <w:sdtContent>
      <w:p w:rsidR="00D568A0" w:rsidRDefault="00D568A0" w:rsidP="00D568A0">
        <w:pPr>
          <w:pStyle w:val="Footer"/>
          <w:bidi w:val="0"/>
          <w:jc w:val="center"/>
        </w:pPr>
        <w:fldSimple w:instr=" PAGE   \* MERGEFORMAT ">
          <w:r w:rsidR="00F1075F">
            <w:rPr>
              <w:noProof/>
            </w:rPr>
            <w:t>8</w:t>
          </w:r>
        </w:fldSimple>
      </w:p>
    </w:sdtContent>
  </w:sdt>
  <w:p w:rsidR="00D568A0" w:rsidRDefault="00D56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FF7" w:rsidRDefault="00BD7FF7" w:rsidP="00970623">
      <w:pPr>
        <w:spacing w:after="0" w:line="240" w:lineRule="auto"/>
      </w:pPr>
      <w:r>
        <w:separator/>
      </w:r>
    </w:p>
  </w:footnote>
  <w:footnote w:type="continuationSeparator" w:id="1">
    <w:p w:rsidR="00BD7FF7" w:rsidRDefault="00BD7FF7" w:rsidP="00970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8B" w:rsidRPr="000B138B" w:rsidRDefault="000B138B" w:rsidP="000B138B">
    <w:pPr>
      <w:pBdr>
        <w:bottom w:val="single" w:sz="4" w:space="1" w:color="auto"/>
      </w:pBdr>
      <w:bidi w:val="0"/>
      <w:spacing w:after="0" w:line="240" w:lineRule="auto"/>
      <w:jc w:val="center"/>
      <w:rPr>
        <w:rFonts w:asciiTheme="majorBidi" w:eastAsia="Times New Roman" w:hAnsiTheme="majorBidi" w:cstheme="majorBidi"/>
        <w:b/>
        <w:bCs/>
        <w:lang w:bidi="ar-IQ"/>
      </w:rPr>
    </w:pPr>
    <w:r w:rsidRPr="000B138B">
      <w:rPr>
        <w:rFonts w:asciiTheme="majorBidi" w:eastAsia="Times New Roman" w:hAnsiTheme="majorBidi" w:cstheme="majorBidi"/>
        <w:b/>
        <w:bCs/>
        <w:lang w:bidi="ar-IQ"/>
      </w:rPr>
      <w:t xml:space="preserve">DR. HAYDER M. ALKURAISHY </w:t>
    </w:r>
  </w:p>
  <w:p w:rsidR="00510BF4" w:rsidRPr="00510BF4" w:rsidRDefault="000B138B" w:rsidP="000B138B">
    <w:pPr>
      <w:pStyle w:val="Header"/>
      <w:tabs>
        <w:tab w:val="clear" w:pos="8306"/>
        <w:tab w:val="right" w:pos="9440"/>
      </w:tabs>
      <w:bidi w:val="0"/>
      <w:ind w:left="-1192" w:right="-993"/>
      <w:jc w:val="center"/>
      <w:rPr>
        <w:rFonts w:hint="cs"/>
        <w:rtl/>
        <w:lang w:bidi="ar-IQ"/>
      </w:rPr>
    </w:pPr>
    <w:r>
      <w:rPr>
        <w:rFonts w:asciiTheme="majorBidi" w:eastAsia="Times New Roman" w:hAnsiTheme="majorBidi" w:cstheme="majorBidi"/>
        <w:b/>
        <w:bCs/>
        <w:sz w:val="32"/>
        <w:szCs w:val="32"/>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565" type="#_x0000_t136" style="width:465.75pt;height:29.25pt" fillcolor="#06c" strokecolor="#9cf" strokeweight="1.5pt">
          <v:shadow on="t" color="#900"/>
          <v:textpath style="font-family:&quot;Impact&quot;;v-text-kern:t" trim="t" fitpath="t" string="Pharmacolog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464"/>
    <w:multiLevelType w:val="multilevel"/>
    <w:tmpl w:val="D794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54982"/>
    <w:multiLevelType w:val="hybridMultilevel"/>
    <w:tmpl w:val="9F8663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EE6BB3"/>
    <w:multiLevelType w:val="multilevel"/>
    <w:tmpl w:val="0A5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277A5"/>
    <w:multiLevelType w:val="multilevel"/>
    <w:tmpl w:val="DF2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34F08"/>
    <w:multiLevelType w:val="multilevel"/>
    <w:tmpl w:val="5F0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56D27"/>
    <w:multiLevelType w:val="multilevel"/>
    <w:tmpl w:val="6D36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6135F"/>
    <w:multiLevelType w:val="multilevel"/>
    <w:tmpl w:val="AC3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7566D"/>
    <w:multiLevelType w:val="hybridMultilevel"/>
    <w:tmpl w:val="3C784F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EC5817"/>
    <w:multiLevelType w:val="hybridMultilevel"/>
    <w:tmpl w:val="445626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E0182B"/>
    <w:multiLevelType w:val="hybridMultilevel"/>
    <w:tmpl w:val="3FC27AD2"/>
    <w:lvl w:ilvl="0" w:tplc="2698F05C">
      <w:start w:val="1"/>
      <w:numFmt w:val="bullet"/>
      <w:lvlText w:val=""/>
      <w:lvlJc w:val="left"/>
      <w:pPr>
        <w:ind w:left="1080" w:hanging="360"/>
      </w:pPr>
      <w:rPr>
        <w:rFonts w:ascii="Wingdings" w:hAnsi="Wingdings" w:hint="default"/>
        <w:b/>
        <w:bC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F0E5B6C"/>
    <w:multiLevelType w:val="multilevel"/>
    <w:tmpl w:val="26F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E5DDC"/>
    <w:multiLevelType w:val="hybridMultilevel"/>
    <w:tmpl w:val="51628F1E"/>
    <w:lvl w:ilvl="0" w:tplc="176868DA">
      <w:start w:val="1"/>
      <w:numFmt w:val="bullet"/>
      <w:lvlText w:val=""/>
      <w:lvlJc w:val="left"/>
      <w:pPr>
        <w:ind w:left="1636" w:hanging="360"/>
      </w:pPr>
      <w:rPr>
        <w:rFonts w:ascii="Wingdings" w:hAnsi="Wingdings" w:hint="default"/>
        <w:b/>
        <w:bCs/>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46B6B6B"/>
    <w:multiLevelType w:val="hybridMultilevel"/>
    <w:tmpl w:val="2DBCE1B6"/>
    <w:lvl w:ilvl="0" w:tplc="806A0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DD70E6"/>
    <w:multiLevelType w:val="multilevel"/>
    <w:tmpl w:val="E5E0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2E19D0"/>
    <w:multiLevelType w:val="hybridMultilevel"/>
    <w:tmpl w:val="970C13E2"/>
    <w:lvl w:ilvl="0" w:tplc="7B26C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5B3FB4"/>
    <w:multiLevelType w:val="multilevel"/>
    <w:tmpl w:val="3B3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A3FBF"/>
    <w:multiLevelType w:val="multilevel"/>
    <w:tmpl w:val="6F8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4E0748"/>
    <w:multiLevelType w:val="multilevel"/>
    <w:tmpl w:val="05B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D27A4B"/>
    <w:multiLevelType w:val="hybridMultilevel"/>
    <w:tmpl w:val="45508CC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6"/>
  </w:num>
  <w:num w:numId="3">
    <w:abstractNumId w:val="0"/>
  </w:num>
  <w:num w:numId="4">
    <w:abstractNumId w:val="17"/>
  </w:num>
  <w:num w:numId="5">
    <w:abstractNumId w:val="6"/>
  </w:num>
  <w:num w:numId="6">
    <w:abstractNumId w:val="13"/>
  </w:num>
  <w:num w:numId="7">
    <w:abstractNumId w:val="4"/>
  </w:num>
  <w:num w:numId="8">
    <w:abstractNumId w:val="15"/>
  </w:num>
  <w:num w:numId="9">
    <w:abstractNumId w:val="10"/>
  </w:num>
  <w:num w:numId="10">
    <w:abstractNumId w:val="2"/>
  </w:num>
  <w:num w:numId="11">
    <w:abstractNumId w:val="5"/>
  </w:num>
  <w:num w:numId="12">
    <w:abstractNumId w:val="7"/>
  </w:num>
  <w:num w:numId="13">
    <w:abstractNumId w:val="18"/>
  </w:num>
  <w:num w:numId="14">
    <w:abstractNumId w:val="1"/>
  </w:num>
  <w:num w:numId="15">
    <w:abstractNumId w:val="14"/>
  </w:num>
  <w:num w:numId="16">
    <w:abstractNumId w:val="12"/>
  </w:num>
  <w:num w:numId="17">
    <w:abstractNumId w:val="11"/>
  </w:num>
  <w:num w:numId="18">
    <w:abstractNumId w:val="9"/>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0"/>
    <w:footnote w:id="1"/>
  </w:footnotePr>
  <w:endnotePr>
    <w:endnote w:id="0"/>
    <w:endnote w:id="1"/>
  </w:endnotePr>
  <w:compat/>
  <w:rsids>
    <w:rsidRoot w:val="00C579D1"/>
    <w:rsid w:val="000B138B"/>
    <w:rsid w:val="001141F1"/>
    <w:rsid w:val="00117DEC"/>
    <w:rsid w:val="00270FA8"/>
    <w:rsid w:val="00510BF4"/>
    <w:rsid w:val="006944C7"/>
    <w:rsid w:val="008313BC"/>
    <w:rsid w:val="00970623"/>
    <w:rsid w:val="00981E8C"/>
    <w:rsid w:val="00A600AB"/>
    <w:rsid w:val="00BC63EC"/>
    <w:rsid w:val="00BD7FF7"/>
    <w:rsid w:val="00C1603B"/>
    <w:rsid w:val="00C44B01"/>
    <w:rsid w:val="00C579D1"/>
    <w:rsid w:val="00C755B2"/>
    <w:rsid w:val="00D568A0"/>
    <w:rsid w:val="00E04508"/>
    <w:rsid w:val="00E64E17"/>
    <w:rsid w:val="00F1075F"/>
    <w:rsid w:val="00F34CAA"/>
    <w:rsid w:val="00F475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79D1"/>
    <w:rPr>
      <w:color w:val="0000FF"/>
      <w:u w:val="single"/>
    </w:rPr>
  </w:style>
  <w:style w:type="paragraph" w:styleId="BalloonText">
    <w:name w:val="Balloon Text"/>
    <w:basedOn w:val="Normal"/>
    <w:link w:val="BalloonTextChar"/>
    <w:uiPriority w:val="99"/>
    <w:semiHidden/>
    <w:unhideWhenUsed/>
    <w:rsid w:val="00C5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D1"/>
    <w:rPr>
      <w:rFonts w:ascii="Tahoma" w:hAnsi="Tahoma" w:cs="Tahoma"/>
      <w:sz w:val="16"/>
      <w:szCs w:val="16"/>
    </w:rPr>
  </w:style>
  <w:style w:type="paragraph" w:styleId="Header">
    <w:name w:val="header"/>
    <w:basedOn w:val="Normal"/>
    <w:link w:val="HeaderChar"/>
    <w:uiPriority w:val="99"/>
    <w:semiHidden/>
    <w:unhideWhenUsed/>
    <w:rsid w:val="009706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70623"/>
  </w:style>
  <w:style w:type="paragraph" w:styleId="Footer">
    <w:name w:val="footer"/>
    <w:basedOn w:val="Normal"/>
    <w:link w:val="FooterChar"/>
    <w:uiPriority w:val="99"/>
    <w:unhideWhenUsed/>
    <w:rsid w:val="009706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0623"/>
  </w:style>
  <w:style w:type="paragraph" w:styleId="ListParagraph">
    <w:name w:val="List Paragraph"/>
    <w:basedOn w:val="Normal"/>
    <w:uiPriority w:val="34"/>
    <w:qFormat/>
    <w:rsid w:val="00981E8C"/>
    <w:pPr>
      <w:bidi w:val="0"/>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k:@MSITStore:H:\New%20Folder\Rand%20&amp;%20Dale's%20Pharmacology%20(Churchill%20Livingstone,%202007).CHM::/www.studentconsult.com/content/bookcontent.cfm@id=hc031003.htm" TargetMode="External"/><Relationship Id="rId18" Type="http://schemas.openxmlformats.org/officeDocument/2006/relationships/hyperlink" Target="mk:@MSITStore:H:\New%20Folder\Rand%20&amp;%20Dale's%20Pharmacology%20(Churchill%20Livingstone,%202007).CHM::/www.studentconsult.com/content/bookcontent.cfm@id=hc031003.htm" TargetMode="External"/><Relationship Id="rId26" Type="http://schemas.openxmlformats.org/officeDocument/2006/relationships/hyperlink" Target="mk:@MSITStore:H:\New%20Folder\Rand%20&amp;%20Dale's%20Pharmacology%20(Churchill%20Livingstone,%202007).CHM::/www.studentconsult.com/content/bookcontent.cfm@id=hc031018.htm" TargetMode="External"/><Relationship Id="rId3" Type="http://schemas.openxmlformats.org/officeDocument/2006/relationships/styles" Target="styles.xml"/><Relationship Id="rId21" Type="http://schemas.openxmlformats.org/officeDocument/2006/relationships/hyperlink" Target="mk:@MSITStore:H:\New%20Folder\Rand%20&amp;%20Dale's%20Pharmacology%20(Churchill%20Livingstone,%202007).CHM::/www.studentconsult.com/content/bookcontent.cfm@id=hc03100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k:@MSITStore:H:\New%20Folder\Rand%20&amp;%20Dale's%20Pharmacology%20(Churchill%20Livingstone,%202007).CHM::/www.studentconsult.com/content/bookcontent.cfm@id=hc031003.htm" TargetMode="External"/><Relationship Id="rId17" Type="http://schemas.openxmlformats.org/officeDocument/2006/relationships/hyperlink" Target="mk:@MSITStore:H:\New%20Folder\Rand%20&amp;%20Dale's%20Pharmacology%20(Churchill%20Livingstone,%202007).CHM::/www.studentconsult.com/content/bookcontent.cfm@id=hc031003.htm" TargetMode="External"/><Relationship Id="rId25" Type="http://schemas.openxmlformats.org/officeDocument/2006/relationships/hyperlink" Target="mk:@MSITStore:H:\New%20Folder\Rand%20&amp;%20Dale's%20Pharmacology%20(Churchill%20Livingstone,%202007).CHM::/www.studentconsult.com/content/bookcontent.cfm@id=hc031018.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k:@MSITStore:H:\New%20Folder\Rand%20&amp;%20Dale's%20Pharmacology%20(Churchill%20Livingstone,%202007).CHM::/www.studentconsult.com/content/bookcontent.cfm@id=hc031003.htm" TargetMode="External"/><Relationship Id="rId29" Type="http://schemas.openxmlformats.org/officeDocument/2006/relationships/hyperlink" Target="mk:@MSITStore:H:\New%20Folder\Rand%20&amp;%20Dale's%20Pharmacology%20(Churchill%20Livingstone,%202007).CHM::/www.studentconsult.com/content/bookcontent.cfm@id=hc03101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k:@MSITStore:H:\New%20Folder\Rand%20&amp;%20Dale's%20Pharmacology%20(Churchill%20Livingstone,%202007).CHM::/www.studentconsult.com/content/bookcontent.cfm@id=hc031003.htm" TargetMode="External"/><Relationship Id="rId24" Type="http://schemas.openxmlformats.org/officeDocument/2006/relationships/hyperlink" Target="mk:@MSITStore:H:\New%20Folder\Rand%20&amp;%20Dale's%20Pharmacology%20(Churchill%20Livingstone,%202007).CHM::/www.studentconsult.com/content/bookcontent.cfm@id=hc031018.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k:@MSITStore:H:\New%20Folder\Rand%20&amp;%20Dale's%20Pharmacology%20(Churchill%20Livingstone,%202007).CHM::/www.studentconsult.com/content/bookcontent.cfm@id=hc031003.htm" TargetMode="External"/><Relationship Id="rId23" Type="http://schemas.openxmlformats.org/officeDocument/2006/relationships/hyperlink" Target="mk:@MSITStore:H:\New%20Folder\Rand%20&amp;%20Dale's%20Pharmacology%20(Churchill%20Livingstone,%202007).CHM::/www.studentconsult.com/content/bookcontent.cfm@id=hc031003.htm" TargetMode="External"/><Relationship Id="rId28" Type="http://schemas.openxmlformats.org/officeDocument/2006/relationships/hyperlink" Target="mk:@MSITStore:H:\New%20Folder\Rand%20&amp;%20Dale's%20Pharmacology%20(Churchill%20Livingstone,%202007).CHM::/www.studentconsult.com/content/bookcontent.cfm@id=hc031018.htm" TargetMode="External"/><Relationship Id="rId10" Type="http://schemas.openxmlformats.org/officeDocument/2006/relationships/hyperlink" Target="mk:@MSITStore:H:\New%20Folder\Rand%20&amp;%20Dale's%20Pharmacology%20(Churchill%20Livingstone,%202007).CHM::/www.studentconsult.com/content/bookcontent.cfm@id=hc031003.htm" TargetMode="External"/><Relationship Id="rId19" Type="http://schemas.openxmlformats.org/officeDocument/2006/relationships/hyperlink" Target="mk:@MSITStore:H:\New%20Folder\Rand%20&amp;%20Dale's%20Pharmacology%20(Churchill%20Livingstone,%202007).CHM::/www.studentconsult.com/content/bookcontent.cfm@id=hc031003.htm" TargetMode="External"/><Relationship Id="rId31" Type="http://schemas.openxmlformats.org/officeDocument/2006/relationships/hyperlink" Target="mk:@MSITStore:H:\New%20Folder\Rand%20&amp;%20Dale's%20Pharmacology%20(Churchill%20Livingstone,%202007).CHM::/www.studentconsult.com/content/bookcontent.cfm@id=hc03104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k:@MSITStore:H:\New%20Folder\Rand%20&amp;%20Dale's%20Pharmacology%20(Churchill%20Livingstone,%202007).CHM::/www.studentconsult.com/content/bookcontent.cfm@id=hc031003.htm" TargetMode="External"/><Relationship Id="rId22" Type="http://schemas.openxmlformats.org/officeDocument/2006/relationships/hyperlink" Target="mk:@MSITStore:H:\New%20Folder\Rand%20&amp;%20Dale's%20Pharmacology%20(Churchill%20Livingstone,%202007).CHM::/www.studentconsult.com/content/bookcontent.cfm@id=hc031003.htm" TargetMode="External"/><Relationship Id="rId27" Type="http://schemas.openxmlformats.org/officeDocument/2006/relationships/hyperlink" Target="mk:@MSITStore:H:\New%20Folder\Rand%20&amp;%20Dale's%20Pharmacology%20(Churchill%20Livingstone,%202007).CHM::/www.studentconsult.com/content/bookcontent.cfm@id=hc031018.htm" TargetMode="External"/><Relationship Id="rId30" Type="http://schemas.openxmlformats.org/officeDocument/2006/relationships/hyperlink" Target="mk:@MSITStore:H:\New%20Folder\Rand%20&amp;%20Dale's%20Pharmacology%20(Churchill%20Livingstone,%202007).CHM::/www.studentconsult.com/content/bookcontent.cfm@id=hc031018.htm" TargetMode="External"/><Relationship Id="rId35"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72B589-40CA-4DE8-A3A6-8C9C6C1F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4790</Words>
  <Characters>27308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DR.Ahmed Saker</cp:lastModifiedBy>
  <cp:revision>9</cp:revision>
  <dcterms:created xsi:type="dcterms:W3CDTF">2010-12-27T19:03:00Z</dcterms:created>
  <dcterms:modified xsi:type="dcterms:W3CDTF">2013-11-22T20:22:00Z</dcterms:modified>
</cp:coreProperties>
</file>