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(24)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وتسمى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والثانية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مزدوج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ذهابا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وايابا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يلاعب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مميزات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يتيح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بالاحتكاك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بالبطولة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الفوز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ويؤخذ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وبشرية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الضعيفة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التنافس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السباقات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خسارته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بمباراة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افضل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🗙(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المشتركه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- 1)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فرضنا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6 × (6-1)              6× 5                    30         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—---------- =   —---------- =     —----------  = 15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مباراه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2                      2                        2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الزوجي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-1 =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1-6 = 5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-7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مساويا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= 7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رسم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وجدول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ويرمز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بالارقام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(1)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</w:t>
      </w:r>
    </w:p>
    <w:tbl>
      <w:tblPr>
        <w:tblStyle w:val="Table1"/>
        <w:bidiVisual w:val="1"/>
        <w:tblW w:w="85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  <w:tblGridChange w:id="0">
          <w:tblGrid>
            <w:gridCol w:w="1704"/>
            <w:gridCol w:w="1704"/>
            <w:gridCol w:w="1704"/>
            <w:gridCol w:w="1705"/>
            <w:gridCol w:w="17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(1)4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(1)2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(1)3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(1)6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(1)5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</w:t>
      </w:r>
    </w:p>
    <w:tbl>
      <w:tblPr>
        <w:tblStyle w:val="Table2"/>
        <w:bidiVisual w:val="1"/>
        <w:tblW w:w="106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5"/>
        <w:gridCol w:w="1912"/>
        <w:gridCol w:w="2127"/>
        <w:gridCol w:w="2119"/>
        <w:gridCol w:w="2223"/>
        <w:tblGridChange w:id="0">
          <w:tblGrid>
            <w:gridCol w:w="2255"/>
            <w:gridCol w:w="1912"/>
            <w:gridCol w:w="2127"/>
            <w:gridCol w:w="2119"/>
            <w:gridCol w:w="22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الاول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الدور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216"/>
                <w:tab w:val="center" w:leader="none" w:pos="744"/>
              </w:tabs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الميناء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الصناعة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الميناء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الميناء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الشرطة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الميناء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الشباب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الميناء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الشرطة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الصناعة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الشرطة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الصناعة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الشباب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الشرطة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الشباب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الصناعة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الصناعة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التجارة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الشرطة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ويرمز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يلتقي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الوهمي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انتظار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مباراة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فرضنا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(9)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9× (1-9 )                       9×8                    56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—----------- = —--------------- = —-------------  = 28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المباريات</w:t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2                         2                           2     </w:t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الادوار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= 9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-228598</wp:posOffset>
            </wp:positionV>
            <wp:extent cx="3942715" cy="9029700"/>
            <wp:effectExtent b="0" l="0" r="0" t="0"/>
            <wp:wrapNone/>
            <wp:docPr id="1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7792" l="17858" r="267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902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9525</wp:posOffset>
            </wp:positionH>
            <wp:positionV relativeFrom="paragraph">
              <wp:posOffset>66675</wp:posOffset>
            </wp:positionV>
            <wp:extent cx="5276850" cy="3905250"/>
            <wp:effectExtent b="0" l="0" r="0" t="0"/>
            <wp:wrapNone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يمنح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الخسارة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حائزا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المرتبة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بالمرتبة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لحصول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تقتضي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نصت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الرجوع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وثالث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دوري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(25)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ببطولة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(300)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مباراة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لمرحلة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متساوية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(25)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الصومال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ليبيا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السودان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اندونيسيا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كوريا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ماليزيا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اليابان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bidi w:val="1"/>
        <w:spacing w:after="0" w:line="240" w:lineRule="auto"/>
        <w:ind w:left="386" w:hanging="36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باكستان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سنغافورة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بنكلادش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الاردن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ويؤخذ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سادسة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وتلعب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بالبطولة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فرضنا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اليابان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الاردن</w:t>
      </w:r>
    </w:p>
    <w:p w:rsidR="00000000" w:rsidDel="00000000" w:rsidP="00000000" w:rsidRDefault="00000000" w:rsidRPr="00000000" w14:paraId="0000008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الاولى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2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17"/>
        <w:gridCol w:w="2258"/>
        <w:gridCol w:w="2053"/>
        <w:gridCol w:w="1749"/>
        <w:gridCol w:w="2047"/>
        <w:tblGridChange w:id="0">
          <w:tblGrid>
            <w:gridCol w:w="2017"/>
            <w:gridCol w:w="2258"/>
            <w:gridCol w:w="2053"/>
            <w:gridCol w:w="1749"/>
            <w:gridCol w:w="204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العراق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اليمن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لبنان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الصومال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اليمن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لبنان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العراق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الصومال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سعودية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لبنان</w:t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الصومال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اليمن</w:t>
            </w:r>
          </w:p>
          <w:p w:rsidR="00000000" w:rsidDel="00000000" w:rsidP="00000000" w:rsidRDefault="00000000" w:rsidRPr="00000000" w14:paraId="00000090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العراق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الصومال</w:t>
            </w:r>
          </w:p>
          <w:p w:rsidR="00000000" w:rsidDel="00000000" w:rsidP="00000000" w:rsidRDefault="00000000" w:rsidRPr="00000000" w14:paraId="00000092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سعودية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لبنان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عراق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يمن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95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العراق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الصومال</w:t>
            </w:r>
          </w:p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اليمن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1"/>
              </w:rPr>
              <w:t xml:space="preserve">لبنان</w:t>
            </w:r>
          </w:p>
        </w:tc>
      </w:tr>
    </w:tbl>
    <w:p w:rsidR="00000000" w:rsidDel="00000000" w:rsidP="00000000" w:rsidRDefault="00000000" w:rsidRPr="00000000" w14:paraId="0000009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2eNZOO/nzchoYP7IBeJeQVIsA==">CgMxLjA4AHIhMUM4X2d1YzBVNFp2WUoxUWNHcHJ3Z25wYVNkWmpCX3k3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