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(22)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التمويل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ومجالاتها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والشعارات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المنتجات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عائدات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تذاكر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والمناسبات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والتبرعات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عائدات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اشتراكات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ومساهمات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الطوابع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والعملات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التذكارية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للمناسبات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الاذاعي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والتليفزيوني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والمناسبات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عائدات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يعلن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مخصصة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الذاتية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وعرضه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المستهلك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تلجأ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تسمح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بالدخول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وسنعرض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البطل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المحترفين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بورصة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عشوائيا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التغذية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وخصوصا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تكنولوجيا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اخصب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تحوز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التكنولوجيا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للمعدات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المتطلبات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المواءمة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اسواق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الفراغ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للاستمتاع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والتسلية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والاستجمام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بسيكولوجية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والتدريبات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والدراجات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والشاحنات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الشبكة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الديموجرافية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شبكة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الاوصاف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بالديموجرافية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بورصة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الاسواق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سكانية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شبكة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لمتطلبات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مستلزمات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اللياقة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استنادا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والاستعداد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لتقلبات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التمويل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توظف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الاوليمبية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والاتحادات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والاكاديمية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مكتملة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مسيرتها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استنادا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ننسى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ينقلب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يشتريها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استبعاد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الاسمى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ننسى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بالخوض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فالمشكلات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زالت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المعوقات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الصعوبات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سلبيات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كفايتهم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وعطائهم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الحاضر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التعسف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الانفرادي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السلبيات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يتحاشاها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الصلاحيات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الممنوحة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والاقتراحات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اقناع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بفوائد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الاقتراحات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الانتقادات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يوجهها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تستندها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اثبتت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والتشجيع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التوجيهات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والالحاح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المزعج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معكوسة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يستفز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وفعالياته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وجيزة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ونموه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مهنته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يستوجب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الاذخ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بملاحظاته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عاجلة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5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