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27" w:rsidRPr="00F52430" w:rsidRDefault="00DF0A27" w:rsidP="00DF0A2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 xml:space="preserve">الجامعة المستنصرية </w:t>
      </w:r>
    </w:p>
    <w:p w:rsidR="00DF0A27" w:rsidRPr="00F52430" w:rsidRDefault="00DF0A27" w:rsidP="00DF0A2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</w:p>
    <w:p w:rsidR="00DF0A27" w:rsidRPr="00F52430" w:rsidRDefault="00C4792F" w:rsidP="00DF0A27">
      <w:pPr>
        <w:spacing w:after="200"/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>الدراس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ة الاولية</w:t>
      </w:r>
      <w:r w:rsidR="00DF0A27" w:rsidRPr="00F52430">
        <w:rPr>
          <w:rFonts w:ascii="Simplified Arabic" w:eastAsiaTheme="minorHAnsi" w:hAnsi="Simplified Arabic" w:cs="Simplified Arabic"/>
          <w:sz w:val="32"/>
          <w:szCs w:val="32"/>
          <w:rtl/>
          <w:lang w:bidi="ar-IQ"/>
        </w:rPr>
        <w:t xml:space="preserve">                                                                                        </w:t>
      </w:r>
    </w:p>
    <w:p w:rsidR="00DF0A27" w:rsidRPr="00F52430" w:rsidRDefault="00DF0A27" w:rsidP="00DF0A27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</w:p>
    <w:p w:rsidR="00DF0A27" w:rsidRPr="00F52430" w:rsidRDefault="00DF0A27" w:rsidP="00DF0A27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</w:p>
    <w:p w:rsidR="00DF0A27" w:rsidRPr="00F52430" w:rsidRDefault="00DF0A27" w:rsidP="0016022F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  <w:r w:rsidRPr="00F52430"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  <w:t xml:space="preserve">المحاضرة </w:t>
      </w:r>
      <w:r w:rsidR="0016022F"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>الرابعة</w:t>
      </w:r>
    </w:p>
    <w:p w:rsidR="0016022F" w:rsidRDefault="00DF0A27" w:rsidP="0016022F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القانون الدولي لكرة اليد</w:t>
      </w:r>
      <w:r w:rsidR="0016022F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مادة (5)</w:t>
      </w:r>
    </w:p>
    <w:p w:rsidR="00DF0A27" w:rsidRPr="00F52430" w:rsidRDefault="00DF0A27" w:rsidP="0016022F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المرحلة ال</w:t>
      </w:r>
      <w:r w:rsidR="00C872EA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ثانية</w:t>
      </w:r>
    </w:p>
    <w:p w:rsidR="00DF0A27" w:rsidRDefault="00C4792F" w:rsidP="0016022F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  <w:proofErr w:type="spellStart"/>
      <w:r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>أ.م.د</w:t>
      </w:r>
      <w:proofErr w:type="spellEnd"/>
      <w:r>
        <w:rPr>
          <w:rFonts w:ascii="Simplified Arabic" w:eastAsiaTheme="minorHAnsi" w:hAnsi="Simplified Arabic" w:cs="PT Bold Heading" w:hint="cs"/>
          <w:sz w:val="56"/>
          <w:szCs w:val="56"/>
          <w:rtl/>
          <w:lang w:bidi="ar-IQ"/>
        </w:rPr>
        <w:t>. يعقوب يوسف عبد الزهرة</w:t>
      </w:r>
    </w:p>
    <w:p w:rsidR="00DF0A27" w:rsidRDefault="00DF0A27" w:rsidP="00DF0A27">
      <w:pPr>
        <w:spacing w:after="200"/>
        <w:jc w:val="center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</w:p>
    <w:p w:rsidR="00DF0A27" w:rsidRPr="00F52430" w:rsidRDefault="00DF0A27" w:rsidP="0016022F">
      <w:pPr>
        <w:spacing w:after="200"/>
        <w:rPr>
          <w:rFonts w:ascii="Simplified Arabic" w:eastAsiaTheme="minorHAnsi" w:hAnsi="Simplified Arabic" w:cs="PT Bold Heading"/>
          <w:sz w:val="56"/>
          <w:szCs w:val="56"/>
          <w:rtl/>
          <w:lang w:bidi="ar-IQ"/>
        </w:rPr>
      </w:pPr>
    </w:p>
    <w:p w:rsidR="00DF0A27" w:rsidRDefault="00DF0A27" w:rsidP="00C872EA">
      <w:pPr>
        <w:rPr>
          <w:rtl/>
        </w:rPr>
      </w:pP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14</w:t>
      </w:r>
      <w:r w:rsidR="0016022F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46</w:t>
      </w:r>
      <w:r w:rsidRPr="00F52430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 xml:space="preserve">ه                               </w:t>
      </w:r>
      <w:r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 xml:space="preserve">                           20</w:t>
      </w:r>
      <w:r w:rsidR="0016022F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2</w:t>
      </w:r>
      <w:r w:rsidR="00C872EA">
        <w:rPr>
          <w:rFonts w:ascii="Simplified Arabic" w:eastAsiaTheme="minorHAnsi" w:hAnsi="Simplified Arabic" w:cs="Simplified Arabic" w:hint="cs"/>
          <w:sz w:val="32"/>
          <w:szCs w:val="32"/>
          <w:rtl/>
          <w:lang w:bidi="ar-IQ"/>
        </w:rPr>
        <w:t>5</w:t>
      </w:r>
      <w:r>
        <w:rPr>
          <w:rFonts w:asciiTheme="minorBidi" w:eastAsia="Calibri" w:hAnsiTheme="minorBidi" w:cstheme="minorBidi" w:hint="cs"/>
          <w:sz w:val="40"/>
          <w:szCs w:val="40"/>
          <w:rtl/>
          <w:lang w:bidi="ar-IQ"/>
        </w:rPr>
        <w:t>م</w:t>
      </w:r>
    </w:p>
    <w:p w:rsidR="0016022F" w:rsidRDefault="0016022F" w:rsidP="00DF0A27">
      <w:pPr>
        <w:ind w:left="424" w:hanging="424"/>
        <w:jc w:val="lowKashida"/>
        <w:rPr>
          <w:rFonts w:cs="MCS Taybah S_U normal."/>
          <w:b/>
          <w:bCs/>
          <w:sz w:val="40"/>
          <w:szCs w:val="40"/>
          <w:rtl/>
          <w:lang w:bidi="ar-IQ"/>
        </w:rPr>
      </w:pPr>
    </w:p>
    <w:p w:rsidR="00DF0A27" w:rsidRPr="00DF0A27" w:rsidRDefault="00DF0A27" w:rsidP="00DF0A27">
      <w:pPr>
        <w:ind w:left="424" w:hanging="424"/>
        <w:jc w:val="lowKashida"/>
        <w:rPr>
          <w:rFonts w:cs="MCS Taybah S_U normal."/>
          <w:b/>
          <w:bCs/>
          <w:sz w:val="40"/>
          <w:szCs w:val="40"/>
          <w:rtl/>
          <w:lang w:bidi="ar-IQ"/>
        </w:rPr>
      </w:pPr>
      <w:r w:rsidRPr="00DF0A27">
        <w:rPr>
          <w:rFonts w:cs="MCS Taybah S_U normal."/>
          <w:b/>
          <w:bCs/>
          <w:sz w:val="40"/>
          <w:szCs w:val="40"/>
          <w:rtl/>
        </w:rPr>
        <w:lastRenderedPageBreak/>
        <w:t>المادة (</w:t>
      </w:r>
      <w:r w:rsidRPr="00DF0A27">
        <w:rPr>
          <w:rFonts w:cs="MCS Taybah S_U normal."/>
          <w:b/>
          <w:bCs/>
          <w:sz w:val="40"/>
          <w:szCs w:val="40"/>
        </w:rPr>
        <w:t>5</w:t>
      </w:r>
      <w:r w:rsidRPr="00DF0A27">
        <w:rPr>
          <w:rFonts w:cs="MCS Taybah S_U normal."/>
          <w:b/>
          <w:bCs/>
          <w:sz w:val="40"/>
          <w:szCs w:val="40"/>
          <w:rtl/>
        </w:rPr>
        <w:t>) حارس المرمى</w:t>
      </w:r>
    </w:p>
    <w:p w:rsidR="00DF0A27" w:rsidRPr="00DF0A27" w:rsidRDefault="00DF0A27" w:rsidP="00DF0A27">
      <w:pPr>
        <w:ind w:left="424" w:hanging="424"/>
        <w:jc w:val="lowKashida"/>
        <w:rPr>
          <w:rFonts w:cs="MCS Taybah S_U normal."/>
          <w:sz w:val="28"/>
          <w:szCs w:val="28"/>
          <w:rtl/>
          <w:lang w:bidi="ar-IQ"/>
        </w:rPr>
      </w:pP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يسمح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لحارس المرمى </w:t>
      </w:r>
      <w:proofErr w:type="gramStart"/>
      <w:r w:rsidRPr="00DF0A27">
        <w:rPr>
          <w:rFonts w:ascii="Simplified Arabic" w:hAnsi="Simplified Arabic" w:cs="Simplified Arabic"/>
          <w:sz w:val="32"/>
          <w:szCs w:val="32"/>
          <w:rtl/>
        </w:rPr>
        <w:t>بالاتي</w:t>
      </w:r>
      <w:proofErr w:type="gramEnd"/>
      <w:r w:rsidRPr="00DF0A27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1:5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لمس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الكرة باي جزء من جسمه وهو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في حالة الدفاع داخل منطقة المرمى.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2:5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التحرك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بالكرة داخل منطقة المرمى، دون أي يكون عرضة للقيود التي تنطبق على لاعبي ال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>ساحه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(المواد </w:t>
      </w:r>
      <w:r w:rsidRPr="00DF0A27">
        <w:rPr>
          <w:rFonts w:ascii="Simplified Arabic" w:hAnsi="Simplified Arabic" w:cs="Simplified Arabic"/>
          <w:sz w:val="32"/>
          <w:szCs w:val="32"/>
        </w:rPr>
        <w:t>4-2:7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7:7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) ، ولا يسمح لحارس المرمى، على أي حال، </w:t>
      </w:r>
      <w:proofErr w:type="spellStart"/>
      <w:r w:rsidRPr="00DF0A27">
        <w:rPr>
          <w:rFonts w:ascii="Simplified Arabic" w:hAnsi="Simplified Arabic" w:cs="Simplified Arabic"/>
          <w:sz w:val="32"/>
          <w:szCs w:val="32"/>
          <w:rtl/>
        </w:rPr>
        <w:t>بتاخير</w:t>
      </w:r>
      <w:proofErr w:type="spellEnd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تنفيذ رمية حارس المرمى (المواد </w:t>
      </w:r>
      <w:r w:rsidRPr="00DF0A27">
        <w:rPr>
          <w:rFonts w:ascii="Simplified Arabic" w:hAnsi="Simplified Arabic" w:cs="Simplified Arabic"/>
          <w:sz w:val="32"/>
          <w:szCs w:val="32"/>
        </w:rPr>
        <w:t>5-4:6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2:12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5:15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ب).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3:5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ترك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منطقة مرماه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بدون 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والاشتراك بالمباراة داخل منطقة اللعب، وعندما يفعل ذلك فان حارس المرمى يخضع لنفس القواعد التي تنطبق على اللاعبين في منطقة اللعب (ما عدا الحالة التي وصفت في تعليق المادة </w:t>
      </w:r>
      <w:r w:rsidRPr="00DF0A27">
        <w:rPr>
          <w:rFonts w:ascii="Simplified Arabic" w:hAnsi="Simplified Arabic" w:cs="Simplified Arabic"/>
          <w:sz w:val="32"/>
          <w:szCs w:val="32"/>
        </w:rPr>
        <w:t>5:8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الفقرة الثانية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DF0A27" w:rsidRPr="00DF0A27" w:rsidRDefault="00DF0A27" w:rsidP="00DF0A27">
      <w:pPr>
        <w:ind w:left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sz w:val="32"/>
          <w:szCs w:val="32"/>
          <w:rtl/>
        </w:rPr>
        <w:t>ويعد حارس المرمى خارج منطقة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مرماه عندما يلمس باي جزء من جسمه الارض خارج منطقة المرمى.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4:5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بترك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منطقة المرمى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مع 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DF0A27">
        <w:rPr>
          <w:rFonts w:ascii="Simplified Arabic" w:hAnsi="Simplified Arabic" w:cs="Simplified Arabic"/>
          <w:sz w:val="32"/>
          <w:szCs w:val="32"/>
          <w:rtl/>
        </w:rPr>
        <w:t>ومعاودة  لعبها</w:t>
      </w:r>
      <w:proofErr w:type="gramEnd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ثانية بمنطقة اللعب اذا لم ينجح في السيطرة عليها.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لا يسمح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لحارس المرمى </w:t>
      </w:r>
      <w:proofErr w:type="gramStart"/>
      <w:r w:rsidRPr="00DF0A27">
        <w:rPr>
          <w:rFonts w:ascii="Simplified Arabic" w:hAnsi="Simplified Arabic" w:cs="Simplified Arabic"/>
          <w:sz w:val="32"/>
          <w:szCs w:val="32"/>
          <w:rtl/>
        </w:rPr>
        <w:t>بالاتي</w:t>
      </w:r>
      <w:proofErr w:type="gramEnd"/>
      <w:r w:rsidRPr="00DF0A27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5:5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تعريض المنافس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للخطر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عندما يكون في حالة دفاع (</w:t>
      </w:r>
      <w:r w:rsidRPr="00DF0A27">
        <w:rPr>
          <w:rFonts w:ascii="Simplified Arabic" w:hAnsi="Simplified Arabic" w:cs="Simplified Arabic"/>
          <w:sz w:val="32"/>
          <w:szCs w:val="32"/>
        </w:rPr>
        <w:t>3:8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5:8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تعليق </w:t>
      </w:r>
      <w:r w:rsidRPr="00DF0A27">
        <w:rPr>
          <w:rFonts w:ascii="Simplified Arabic" w:hAnsi="Simplified Arabic" w:cs="Simplified Arabic"/>
          <w:sz w:val="32"/>
          <w:szCs w:val="32"/>
        </w:rPr>
        <w:t>5:8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  <w:lang w:bidi="ar-IQ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6:5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ترك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منطقة المرمى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مع الكرة وهي تحت سيطرته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وهذا يؤدي الى رمية حرة (طبقا لـ </w:t>
      </w:r>
      <w:r w:rsidRPr="00DF0A27">
        <w:rPr>
          <w:rFonts w:ascii="Simplified Arabic" w:hAnsi="Simplified Arabic" w:cs="Simplified Arabic"/>
          <w:sz w:val="32"/>
          <w:szCs w:val="32"/>
        </w:rPr>
        <w:t>1:6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أ، </w:t>
      </w:r>
      <w:r w:rsidRPr="00DF0A27">
        <w:rPr>
          <w:rFonts w:ascii="Simplified Arabic" w:hAnsi="Simplified Arabic" w:cs="Simplified Arabic"/>
          <w:sz w:val="32"/>
          <w:szCs w:val="32"/>
        </w:rPr>
        <w:t>7:15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الفقرة الثالثة) اذا اطلق الحكام صافرتهم </w:t>
      </w:r>
      <w:proofErr w:type="spellStart"/>
      <w:r w:rsidRPr="00DF0A27">
        <w:rPr>
          <w:rFonts w:ascii="Simplified Arabic" w:hAnsi="Simplified Arabic" w:cs="Simplified Arabic"/>
          <w:sz w:val="32"/>
          <w:szCs w:val="32"/>
          <w:rtl/>
        </w:rPr>
        <w:t>لاداء</w:t>
      </w:r>
      <w:proofErr w:type="spellEnd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رمية حارس المرمى، وإلا ببساطة تعاد رميه حارس المرمى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(</w:t>
      </w:r>
      <w:r w:rsidRPr="00DF0A27">
        <w:rPr>
          <w:rFonts w:ascii="Simplified Arabic" w:hAnsi="Simplified Arabic" w:cs="Simplified Arabic"/>
          <w:sz w:val="32"/>
          <w:szCs w:val="32"/>
        </w:rPr>
        <w:t>7:15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الفقرة الثانية)، مع ذلك انظر تفسير قاعدة الفائدة في </w:t>
      </w:r>
      <w:r w:rsidRPr="00DF0A27">
        <w:rPr>
          <w:rFonts w:ascii="Simplified Arabic" w:hAnsi="Simplified Arabic" w:cs="Simplified Arabic"/>
          <w:sz w:val="32"/>
          <w:szCs w:val="32"/>
        </w:rPr>
        <w:t>7:15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اذا فقد حارس المرمى الكرة خارج منطقة المرمى بعد اجتيازه الخط والكرة في يده.</w:t>
      </w:r>
      <w:proofErr w:type="gramEnd"/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>7:5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لمس 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عندما تكون مستقرة او متدحرجة على الارض خارج منطقة المرمى في حين هو داخل منطقة المرمى (</w:t>
      </w:r>
      <w:r w:rsidRPr="00DF0A27">
        <w:rPr>
          <w:rFonts w:ascii="Simplified Arabic" w:hAnsi="Simplified Arabic" w:cs="Simplified Arabic"/>
          <w:sz w:val="32"/>
          <w:szCs w:val="32"/>
        </w:rPr>
        <w:t>1: 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أ</w:t>
      </w:r>
      <w:proofErr w:type="gramStart"/>
      <w:r w:rsidRPr="00DF0A27">
        <w:rPr>
          <w:rFonts w:ascii="Simplified Arabic" w:hAnsi="Simplified Arabic" w:cs="Simplified Arabic"/>
          <w:sz w:val="32"/>
          <w:szCs w:val="32"/>
          <w:rtl/>
        </w:rPr>
        <w:t>)،</w:t>
      </w:r>
      <w:proofErr w:type="gramEnd"/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8:5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اخذ 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داخل منطقة المرمى عندما تكون مستقرة او متدحرجة على الارض خارج منطقة المرمى (</w:t>
      </w:r>
      <w:r w:rsidRPr="00DF0A27">
        <w:rPr>
          <w:rFonts w:ascii="Simplified Arabic" w:hAnsi="Simplified Arabic" w:cs="Simplified Arabic"/>
          <w:sz w:val="32"/>
          <w:szCs w:val="32"/>
        </w:rPr>
        <w:t>1:6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أ).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9:5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العودة بالكرة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من منطقة اللعب الى منطقة المرمى (</w:t>
      </w:r>
      <w:r w:rsidRPr="00DF0A27">
        <w:rPr>
          <w:rFonts w:ascii="Simplified Arabic" w:hAnsi="Simplified Arabic" w:cs="Simplified Arabic"/>
          <w:sz w:val="32"/>
          <w:szCs w:val="32"/>
        </w:rPr>
        <w:t>1:6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DF0A27">
        <w:rPr>
          <w:rFonts w:ascii="Simplified Arabic" w:hAnsi="Simplified Arabic" w:cs="Simplified Arabic"/>
          <w:sz w:val="32"/>
          <w:szCs w:val="32"/>
        </w:rPr>
        <w:t>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أ).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10:5</w:t>
      </w: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لمس الكرة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بالقدم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او الساق اسفل الركبة عندما تكون متحرك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>ـ</w:t>
      </w:r>
      <w:proofErr w:type="gramStart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خارجا</w:t>
      </w:r>
      <w:proofErr w:type="gramEnd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باتجاه منطقة اللعب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(</w:t>
      </w:r>
      <w:r w:rsidRPr="00DF0A27">
        <w:rPr>
          <w:rFonts w:ascii="Simplified Arabic" w:hAnsi="Simplified Arabic" w:cs="Simplified Arabic"/>
          <w:sz w:val="32"/>
          <w:szCs w:val="32"/>
        </w:rPr>
        <w:t xml:space="preserve"> 1:13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أ).</w:t>
      </w:r>
    </w:p>
    <w:p w:rsidR="00DF0A27" w:rsidRPr="00DF0A27" w:rsidRDefault="00DF0A27" w:rsidP="00DF0A27">
      <w:pPr>
        <w:ind w:left="424" w:hanging="424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</w:rPr>
        <w:t>11:5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عبور </w:t>
      </w:r>
      <w:r w:rsidRPr="00DF0A27">
        <w:rPr>
          <w:rFonts w:ascii="Simplified Arabic" w:hAnsi="Simplified Arabic" w:cs="Simplified Arabic"/>
          <w:sz w:val="32"/>
          <w:szCs w:val="32"/>
          <w:u w:val="single"/>
          <w:rtl/>
        </w:rPr>
        <w:t>الخط المقيد لحارس المرمى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(خط الـ </w:t>
      </w:r>
      <w:r w:rsidRPr="00DF0A27">
        <w:rPr>
          <w:rFonts w:ascii="Simplified Arabic" w:hAnsi="Simplified Arabic" w:cs="Simplified Arabic"/>
          <w:sz w:val="32"/>
          <w:szCs w:val="32"/>
        </w:rPr>
        <w:t>4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امتار) او امتداده من كلا الجانبين قبل ان تترك الكرة يد المنافس الذي يؤدي رمية الـ </w:t>
      </w:r>
      <w:r w:rsidRPr="00DF0A27">
        <w:rPr>
          <w:rFonts w:ascii="Simplified Arabic" w:hAnsi="Simplified Arabic" w:cs="Simplified Arabic"/>
          <w:sz w:val="32"/>
          <w:szCs w:val="32"/>
        </w:rPr>
        <w:t>7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امتار </w:t>
      </w:r>
      <w:r w:rsidRPr="00DF0A27">
        <w:rPr>
          <w:rFonts w:ascii="Simplified Arabic" w:hAnsi="Simplified Arabic" w:cs="Simplified Arabic"/>
          <w:sz w:val="32"/>
          <w:szCs w:val="32"/>
        </w:rPr>
        <w:t xml:space="preserve"> (</w:t>
      </w:r>
      <w:proofErr w:type="gramEnd"/>
      <w:r w:rsidRPr="00DF0A27">
        <w:rPr>
          <w:rFonts w:ascii="Simplified Arabic" w:hAnsi="Simplified Arabic" w:cs="Simplified Arabic"/>
          <w:sz w:val="32"/>
          <w:szCs w:val="32"/>
        </w:rPr>
        <w:t>9:14)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F0A27">
        <w:rPr>
          <w:rFonts w:ascii="Simplified Arabic" w:hAnsi="Simplified Arabic" w:cs="Simplified Arabic"/>
          <w:b/>
          <w:bCs/>
          <w:sz w:val="32"/>
          <w:szCs w:val="32"/>
          <w:rtl/>
        </w:rPr>
        <w:t>تعليق:</w:t>
      </w: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طالما يكون حارس المرمى مبقيا احدى قدميه على الارض على او خلف الخط المقيد (خط الـ </w:t>
      </w:r>
      <w:r w:rsidRPr="00DF0A27">
        <w:rPr>
          <w:rFonts w:ascii="Simplified Arabic" w:hAnsi="Simplified Arabic" w:cs="Simplified Arabic"/>
          <w:sz w:val="32"/>
          <w:szCs w:val="32"/>
        </w:rPr>
        <w:t>4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امتار)</w:t>
      </w:r>
      <w:r w:rsidRPr="00DF0A2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فانه</w:t>
      </w:r>
      <w:r w:rsidRPr="00DF0A27">
        <w:rPr>
          <w:rFonts w:ascii="Simplified Arabic" w:hAnsi="Simplified Arabic" w:cs="Simplified Arabic"/>
          <w:sz w:val="32"/>
          <w:szCs w:val="32"/>
          <w:rtl/>
        </w:rPr>
        <w:t xml:space="preserve"> يسمح له بتحريك قدمه الاخرى او أي جزء من جسمه خارج الخط في الهواء.</w:t>
      </w:r>
    </w:p>
    <w:p w:rsidR="00DF0A27" w:rsidRPr="00DF0A27" w:rsidRDefault="00DF0A27" w:rsidP="00DF0A27">
      <w:pPr>
        <w:ind w:left="42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ind w:left="424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Pr="00DF0A27" w:rsidRDefault="00DF0A27" w:rsidP="00DF0A27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A27" w:rsidRDefault="00DF0A27" w:rsidP="0016022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F0A27" w:rsidRPr="00660103" w:rsidRDefault="00DF0A27" w:rsidP="00DF0A2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601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المصادر</w:t>
      </w:r>
    </w:p>
    <w:p w:rsidR="00DF0A27" w:rsidRPr="00660103" w:rsidRDefault="00DF0A27" w:rsidP="00DF0A27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سعد محسن اسماعيل ؛ القانون الدولي لكرة اليد ،</w:t>
      </w:r>
      <w:r w:rsidRPr="006601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الطبعة الاولى</w:t>
      </w:r>
      <w:r w:rsidRPr="006601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مطبعة السيماء للطباعة</w:t>
      </w:r>
      <w:r w:rsidRPr="006601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</w:t>
      </w:r>
      <w:r w:rsidRPr="00660103">
        <w:rPr>
          <w:rFonts w:ascii="Simplified Arabic" w:hAnsi="Simplified Arabic" w:cs="Simplified Arabic"/>
          <w:sz w:val="32"/>
          <w:szCs w:val="32"/>
          <w:rtl/>
          <w:lang w:bidi="ar-IQ"/>
        </w:rPr>
        <w:t>بغدا</w:t>
      </w:r>
      <w:r w:rsidRPr="006601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د، 2010.</w:t>
      </w:r>
    </w:p>
    <w:p w:rsidR="00DF0A27" w:rsidRPr="00117B91" w:rsidRDefault="00DF0A27" w:rsidP="00DF0A27"/>
    <w:p w:rsidR="00862170" w:rsidRPr="00DF0A27" w:rsidRDefault="00862170">
      <w:bookmarkStart w:id="0" w:name="_GoBack"/>
      <w:bookmarkEnd w:id="0"/>
    </w:p>
    <w:sectPr w:rsidR="00862170" w:rsidRPr="00DF0A27" w:rsidSect="00D825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C2B"/>
    <w:multiLevelType w:val="hybridMultilevel"/>
    <w:tmpl w:val="83886CFA"/>
    <w:lvl w:ilvl="0" w:tplc="0150A5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B4447"/>
    <w:multiLevelType w:val="hybridMultilevel"/>
    <w:tmpl w:val="D0641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A4EA2"/>
    <w:multiLevelType w:val="hybridMultilevel"/>
    <w:tmpl w:val="DE863DD6"/>
    <w:lvl w:ilvl="0" w:tplc="7DBC0A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27"/>
    <w:rsid w:val="0016022F"/>
    <w:rsid w:val="00862170"/>
    <w:rsid w:val="00C4792F"/>
    <w:rsid w:val="00C872EA"/>
    <w:rsid w:val="00D82593"/>
    <w:rsid w:val="00D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BF11"/>
  <w15:docId w15:val="{D3A6B838-9858-407E-9DF2-EC284A0F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Yakob</cp:lastModifiedBy>
  <cp:revision>4</cp:revision>
  <dcterms:created xsi:type="dcterms:W3CDTF">2024-10-15T05:37:00Z</dcterms:created>
  <dcterms:modified xsi:type="dcterms:W3CDTF">2025-02-10T18:34:00Z</dcterms:modified>
</cp:coreProperties>
</file>