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(17)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والقائد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المفوضة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مفروضا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فيستمد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وتؤمن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شاعرة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فتستمد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خوفا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مفروض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ويهمه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لمركزة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الابقاء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اجزاء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منصبة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اتمامها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الاطلاق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فشل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والموظفون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ايجاد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رؤسائهم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وغالبا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متعارضا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الفشل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بحاجاتهم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جهودهم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تربطهم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بمرؤوسهم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الصلاحية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صانعه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منفذ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منفذ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يتفهمه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وبصيرة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نافذة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يحتاجها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يحتاجها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بالذكاء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الجسمانية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والاخلاق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والطبائع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الموروثة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المكتسبة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الموهبة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يثيره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الخصوص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تساؤلهم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يرأسها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10%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لواجباته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يتمتع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واعدادهم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كقائد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تربوي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والفعالة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لاحتوائه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مشكلات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متنوعة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التعقيد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تذليله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تخلصا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انعكاساته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سلبياته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منتسبي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يبذلها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يسوده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الانسجام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والتوافق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وادراكه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وتتحسن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واهتمامه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تهاونا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النقاش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الدائر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احترامه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يحفز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اقتناعهم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حريص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ويكسبهم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اشتراكهم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والملاحظات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الملقاة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عاتقه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زملائه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وادراك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الرغبات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ومعاونة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اظهار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بالغطرسة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زملائه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مقابلته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الرغبة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وقيادتهم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للصفوف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يوزع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واستعداداتهم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يرغبون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ويمارسوه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بامتياز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يراقبهم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ومسؤولياتهم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ببطء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وتكاسل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والقدرات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تؤهله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وتجعله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عنصرا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توطيد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افرادها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فائقة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وتشجيع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والمسؤوليات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ينسق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تمهيدا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لتحسينه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القيادات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جماهيرية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احتياجا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المؤهلة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وسلوكيا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وفكريا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واجتماعيا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تعاظم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وقضايا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تاريخها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نذروا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انفسهم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وحملوا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روادا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طليعين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نشهده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عصرنا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وانتقلت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تجاوز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مطلوبا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انتقلت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وتعمقت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وتوسعت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واخذت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شمولا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