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(13)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انواع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الرسمي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التكويني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بشكلها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الهندسي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والمستويات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وتوزيع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الاختصاصات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المشرع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واردة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الوثيقة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ويحاول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المنطقي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ويتوفر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هرم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عريضة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تضم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الوحدات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تدعم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التكوين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الهرمي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المتدرج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اقسام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وادارات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ومصالح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تتركز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يمارس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الكاملة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ثانيا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الرسمي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يهتم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بالدوافع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والاعتبارات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الافصاح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مخططة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توفرها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تلقائيا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وتنبع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احتياجات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ونتيجة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للدور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يتبع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سلوك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رسمي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يتبعها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تصرفاتهم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بالضرورة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يهتم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كائن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الصغيرة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عناصر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الملاحظ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الصغيرة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تنمو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مشاعر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يتوافر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الكبيرة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يعملون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يأخذ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قوانينه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وقواعده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لاسفل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تعسفية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تنمو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التجربة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والاحتكاك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والتفاعل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الحادث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العسكري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) </w:t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ابسط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يلاحظ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مجهودات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وتسير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المنشأت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الصغيرة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المنشأة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الكبيرة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تتميز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تتبعها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منافذ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مستقيمة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ومباشرة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الكتيبة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العسكرية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العسكري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مسؤولية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عاتق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يغريه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الاهتمام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واهمال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تختل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ويؤخذ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تمتع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شخصا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موظفي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اظهار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اقصى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كفاءة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باعمالهم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بجانب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الاصلي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خارجا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اختصاصه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بالرغم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المأخذ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العسكري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الانواع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استعمالا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لملائمته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للمنشأت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الصغيرة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ولبساطته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وسهولة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يوافق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ميول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المباشرة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رجاله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عائد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) .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نائب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نائب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اقليمي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اقليمي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ادارة</w:t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jc w:val="lef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خريطة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العسكري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مساعديه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المحددة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مساعد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بدوره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بتوجيه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لاشرافه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الواجبات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الوظيفي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وميزة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مديرية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اخصائي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مطلق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وحاجة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فمثلا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الاخصائيين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مسؤولة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المستخدمين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ومسؤوليتهم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محددة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بطبيعة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الوظيفية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...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خبيرا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اختصاصات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محددة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  <w:br w:type="textWrapping"/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نجاحا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وفشل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فشله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يعزي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المتراكمة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المتداخلة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المؤاخذة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وينتج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المحدودة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الاختصاصات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مزايا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الوظيفي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اقصى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مبدأ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تسهيل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المراقبة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وتيسير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التعاون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الاقسام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القضاء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مساوئ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الوظيفي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يتعذر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التعاون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الرؤوساء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المستويات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السفلى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صعوبة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سريعة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تنشأ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التهرب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لتعذر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بوظائفها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الاكمل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ضعف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انخفاض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المعنوية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المشترك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تبسيط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للنوعين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السالف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ذكرهما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ونظاما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وظيفيا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رؤوساء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يحصلون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يحتاجون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المساعدات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خبراء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متخصصين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يملكون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اصدار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مزايا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المشترك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4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يحتفظ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بمعظم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مزايا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العسكري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سرعة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واستقامته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وازالة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مساوئ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تزداد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مرونته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بتعاون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يضطرب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3">
      <w:pPr>
        <w:bidi w:val="1"/>
        <w:spacing w:after="0" w:line="240" w:lineRule="auto"/>
        <w:ind w:left="81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الرؤوساء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استعانتهم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الخبراء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تنصحهم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بتقييم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انجاز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تساعدهم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كيفية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ind w:left="81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تطبيق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مبدأ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بالفصل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7">
      <w:pPr>
        <w:bidi w:val="1"/>
        <w:spacing w:after="0" w:line="240" w:lineRule="auto"/>
        <w:ind w:left="81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مساوئ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المشترك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4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تختلط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النصائح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بالاوامر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الرؤوساء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الخبراء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C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ابداء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النصح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جبرية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الخبراء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مسؤولين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الرؤوساء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ينطوي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فشلهم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بالتعلل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بنصيحة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الخبراء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E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الرؤوساء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اعتمادا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الخبراء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بمهمتي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التفكير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حدثت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اضعاف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الرؤوساء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واجباتهم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50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احتكاك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يتسلط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الخبير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لدرجة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يحدث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العكس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يستولي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الخبير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سلطات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يشغل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خارجة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اختصاصه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الفائدة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استخدامة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كخبير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-"/>
      <w:lvlJc w:val="left"/>
      <w:pPr>
        <w:ind w:left="810" w:hanging="45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uYpwYql3ksuxhK7OJGfopci4w==">CgMxLjA4AHIhMVc2LXFsSGphcFNwOGEtMnVBUFhfdUFqSldwTUl3Tmd3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