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2D" w:rsidRPr="001710BF" w:rsidRDefault="0064742D" w:rsidP="0064742D">
      <w:pPr>
        <w:tabs>
          <w:tab w:val="left" w:pos="26"/>
          <w:tab w:val="left" w:pos="1106"/>
        </w:tabs>
        <w:jc w:val="lowKashida"/>
        <w:rPr>
          <w:rFonts w:cs="PT Bold Heading" w:hint="cs"/>
          <w:sz w:val="34"/>
          <w:szCs w:val="34"/>
          <w:rtl/>
        </w:rPr>
      </w:pPr>
      <w:r w:rsidRPr="001710BF">
        <w:rPr>
          <w:rFonts w:cs="PT Bold Heading" w:hint="cs"/>
          <w:sz w:val="34"/>
          <w:szCs w:val="34"/>
          <w:rtl/>
        </w:rPr>
        <w:t>واجبات المدرب الرياضي التربوي:-</w:t>
      </w:r>
    </w:p>
    <w:p w:rsidR="0064742D" w:rsidRDefault="0064742D" w:rsidP="0064742D">
      <w:pPr>
        <w:tabs>
          <w:tab w:val="left" w:pos="26"/>
          <w:tab w:val="left" w:pos="566"/>
        </w:tabs>
        <w:jc w:val="lowKashida"/>
        <w:rPr>
          <w:rFonts w:cs="Simplified Arabic" w:hint="cs"/>
          <w:b/>
          <w:bCs/>
          <w:sz w:val="34"/>
          <w:szCs w:val="34"/>
          <w:rtl/>
        </w:rPr>
      </w:pPr>
      <w:r>
        <w:rPr>
          <w:rFonts w:cs="Simplified Arabic" w:hint="cs"/>
          <w:b/>
          <w:bCs/>
          <w:sz w:val="34"/>
          <w:szCs w:val="34"/>
          <w:rtl/>
        </w:rPr>
        <w:tab/>
      </w:r>
      <w:r>
        <w:rPr>
          <w:rFonts w:cs="Simplified Arabic" w:hint="cs"/>
          <w:b/>
          <w:bCs/>
          <w:sz w:val="34"/>
          <w:szCs w:val="34"/>
          <w:rtl/>
        </w:rPr>
        <w:tab/>
        <w:t xml:space="preserve">إذا أشرنا الى المبادئ التربوية لتدريب الناشئين ، فإننا يجب ألا أن نغفل جانباً مهماً وهو واجبات المدرب الرياضي الذي تقع على مسئوليته تخطيط عملية التدريب وتنفيذها وتقويمها الى جانب تربية ورعاية الرياضيين وتوجيههم وإرشادهم ، </w:t>
      </w:r>
      <w:r w:rsidRPr="00824711">
        <w:rPr>
          <w:rFonts w:cs="PT Bold Heading" w:hint="cs"/>
          <w:sz w:val="34"/>
          <w:szCs w:val="34"/>
          <w:rtl/>
        </w:rPr>
        <w:t>ومن بين أهم الواجبات هي:-</w:t>
      </w:r>
    </w:p>
    <w:p w:rsidR="0064742D" w:rsidRDefault="0064742D" w:rsidP="0064742D">
      <w:pPr>
        <w:numPr>
          <w:ilvl w:val="0"/>
          <w:numId w:val="1"/>
        </w:numPr>
        <w:tabs>
          <w:tab w:val="left" w:pos="26"/>
          <w:tab w:val="left" w:pos="1106"/>
        </w:tabs>
        <w:jc w:val="lowKashida"/>
        <w:rPr>
          <w:rFonts w:cs="Simplified Arabic" w:hint="cs"/>
          <w:b/>
          <w:bCs/>
          <w:sz w:val="34"/>
          <w:szCs w:val="34"/>
          <w:rtl/>
        </w:rPr>
      </w:pPr>
      <w:r>
        <w:rPr>
          <w:rFonts w:cs="Simplified Arabic" w:hint="cs"/>
          <w:b/>
          <w:bCs/>
          <w:sz w:val="34"/>
          <w:szCs w:val="34"/>
          <w:rtl/>
        </w:rPr>
        <w:t>أن يكون قدوة ومثالاً يحتذب كل من حوله.</w:t>
      </w:r>
    </w:p>
    <w:p w:rsidR="0064742D" w:rsidRDefault="0064742D" w:rsidP="0064742D">
      <w:pPr>
        <w:numPr>
          <w:ilvl w:val="0"/>
          <w:numId w:val="1"/>
        </w:numPr>
        <w:tabs>
          <w:tab w:val="left" w:pos="26"/>
          <w:tab w:val="left" w:pos="1106"/>
        </w:tabs>
        <w:jc w:val="lowKashida"/>
        <w:rPr>
          <w:rFonts w:cs="Simplified Arabic" w:hint="cs"/>
          <w:b/>
          <w:bCs/>
          <w:sz w:val="34"/>
          <w:szCs w:val="34"/>
        </w:rPr>
      </w:pPr>
      <w:r>
        <w:rPr>
          <w:rFonts w:cs="Simplified Arabic" w:hint="cs"/>
          <w:b/>
          <w:bCs/>
          <w:sz w:val="34"/>
          <w:szCs w:val="34"/>
          <w:rtl/>
        </w:rPr>
        <w:t>تربية لاعبيه على الولاء والانتماء للمجتمع الذي يعيش فيه.</w:t>
      </w:r>
    </w:p>
    <w:p w:rsidR="0064742D" w:rsidRDefault="0064742D" w:rsidP="0064742D">
      <w:pPr>
        <w:numPr>
          <w:ilvl w:val="0"/>
          <w:numId w:val="1"/>
        </w:numPr>
        <w:tabs>
          <w:tab w:val="left" w:pos="26"/>
          <w:tab w:val="left" w:pos="1106"/>
        </w:tabs>
        <w:jc w:val="lowKashida"/>
        <w:rPr>
          <w:rFonts w:cs="Simplified Arabic" w:hint="cs"/>
          <w:b/>
          <w:bCs/>
          <w:sz w:val="34"/>
          <w:szCs w:val="34"/>
        </w:rPr>
      </w:pPr>
      <w:r>
        <w:rPr>
          <w:rFonts w:cs="Simplified Arabic" w:hint="cs"/>
          <w:b/>
          <w:bCs/>
          <w:sz w:val="34"/>
          <w:szCs w:val="34"/>
          <w:rtl/>
        </w:rPr>
        <w:t>تشكيل دوافع الفرد وميولة للإستمرار في التدريب لتحقيق الهدف.</w:t>
      </w:r>
    </w:p>
    <w:p w:rsidR="0064742D" w:rsidRDefault="0064742D" w:rsidP="0064742D">
      <w:pPr>
        <w:numPr>
          <w:ilvl w:val="0"/>
          <w:numId w:val="1"/>
        </w:numPr>
        <w:tabs>
          <w:tab w:val="left" w:pos="26"/>
          <w:tab w:val="left" w:pos="1106"/>
        </w:tabs>
        <w:jc w:val="lowKashida"/>
        <w:rPr>
          <w:rFonts w:cs="Simplified Arabic" w:hint="cs"/>
          <w:b/>
          <w:bCs/>
          <w:sz w:val="34"/>
          <w:szCs w:val="34"/>
        </w:rPr>
      </w:pPr>
      <w:r>
        <w:rPr>
          <w:rFonts w:cs="Simplified Arabic" w:hint="cs"/>
          <w:b/>
          <w:bCs/>
          <w:sz w:val="34"/>
          <w:szCs w:val="34"/>
          <w:rtl/>
        </w:rPr>
        <w:t>تنمية وتطوير السمات الإرادية والخلقية كتحمل المسؤولية والمثابرة والثقة وضبط النفس والاتزان النفسي والطموح.</w:t>
      </w:r>
    </w:p>
    <w:p w:rsidR="0064742D" w:rsidRPr="0064742D" w:rsidRDefault="0064742D" w:rsidP="0064742D">
      <w:pPr>
        <w:numPr>
          <w:ilvl w:val="0"/>
          <w:numId w:val="1"/>
        </w:numPr>
        <w:tabs>
          <w:tab w:val="left" w:pos="26"/>
          <w:tab w:val="left" w:pos="1106"/>
        </w:tabs>
        <w:jc w:val="lowKashida"/>
        <w:rPr>
          <w:rFonts w:cs="Simplified Arabic" w:hint="cs"/>
          <w:b/>
          <w:bCs/>
          <w:sz w:val="34"/>
          <w:szCs w:val="34"/>
          <w:rtl/>
        </w:rPr>
      </w:pPr>
      <w:r>
        <w:rPr>
          <w:rFonts w:cs="Simplified Arabic" w:hint="cs"/>
          <w:b/>
          <w:bCs/>
          <w:sz w:val="34"/>
          <w:szCs w:val="34"/>
          <w:rtl/>
        </w:rPr>
        <w:t>العمل على أن يحب الرياضي لعبته أولاً للاقتصاد في بذل الجهد والوقت.</w:t>
      </w:r>
    </w:p>
    <w:p w:rsidR="0064742D" w:rsidRDefault="0064742D" w:rsidP="0064742D">
      <w:pPr>
        <w:tabs>
          <w:tab w:val="left" w:pos="26"/>
          <w:tab w:val="left" w:pos="1106"/>
        </w:tabs>
        <w:jc w:val="lowKashida"/>
        <w:rPr>
          <w:rFonts w:cs="Simplified Arabic" w:hint="cs"/>
          <w:b/>
          <w:bCs/>
          <w:sz w:val="34"/>
          <w:szCs w:val="34"/>
        </w:rPr>
      </w:pPr>
    </w:p>
    <w:p w:rsidR="0064742D" w:rsidRPr="00824711" w:rsidRDefault="0064742D" w:rsidP="0064742D">
      <w:pPr>
        <w:tabs>
          <w:tab w:val="left" w:pos="26"/>
          <w:tab w:val="left" w:pos="386"/>
        </w:tabs>
        <w:jc w:val="lowKashida"/>
        <w:rPr>
          <w:rFonts w:cs="PT Bold Heading" w:hint="cs"/>
          <w:sz w:val="34"/>
          <w:szCs w:val="34"/>
          <w:rtl/>
        </w:rPr>
      </w:pPr>
      <w:r w:rsidRPr="00045FB7">
        <w:rPr>
          <w:rFonts w:cs="Simplified Arabic" w:hint="cs"/>
          <w:sz w:val="46"/>
          <w:szCs w:val="46"/>
          <w:lang w:bidi="ar-IQ"/>
        </w:rPr>
        <w:sym w:font="Wingdings" w:char="F045"/>
      </w:r>
      <w:bookmarkStart w:id="0" w:name="_GoBack"/>
      <w:bookmarkEnd w:id="0"/>
      <w:r>
        <w:rPr>
          <w:rFonts w:cs="PT Bold Heading" w:hint="cs"/>
          <w:sz w:val="34"/>
          <w:szCs w:val="34"/>
          <w:rtl/>
        </w:rPr>
        <w:t xml:space="preserve"> </w:t>
      </w:r>
      <w:r w:rsidRPr="00824711">
        <w:rPr>
          <w:rFonts w:cs="PT Bold Heading" w:hint="cs"/>
          <w:sz w:val="34"/>
          <w:szCs w:val="34"/>
          <w:rtl/>
        </w:rPr>
        <w:t xml:space="preserve">الأسس والمبادئ للتوجيه والإرشاد التربوي:- </w:t>
      </w:r>
    </w:p>
    <w:p w:rsidR="0064742D" w:rsidRDefault="0064742D" w:rsidP="0064742D">
      <w:pPr>
        <w:tabs>
          <w:tab w:val="left" w:pos="26"/>
          <w:tab w:val="left" w:pos="386"/>
        </w:tabs>
        <w:jc w:val="lowKashida"/>
        <w:rPr>
          <w:rFonts w:cs="Simplified Arabic" w:hint="cs"/>
          <w:b/>
          <w:bCs/>
          <w:sz w:val="34"/>
          <w:szCs w:val="34"/>
          <w:rtl/>
        </w:rPr>
      </w:pPr>
      <w:r>
        <w:rPr>
          <w:rFonts w:cs="Simplified Arabic" w:hint="cs"/>
          <w:b/>
          <w:bCs/>
          <w:sz w:val="34"/>
          <w:szCs w:val="34"/>
          <w:rtl/>
        </w:rPr>
        <w:tab/>
      </w:r>
      <w:r>
        <w:rPr>
          <w:rFonts w:cs="Simplified Arabic" w:hint="cs"/>
          <w:b/>
          <w:bCs/>
          <w:sz w:val="34"/>
          <w:szCs w:val="34"/>
          <w:rtl/>
        </w:rPr>
        <w:tab/>
        <w:t>هناك العديد من الأسس والمبادئ للتوجيه والإرشاد التربوي للناشئ الرياضي ومن بين هذه المبادئ:-</w:t>
      </w:r>
    </w:p>
    <w:p w:rsidR="0064742D" w:rsidRPr="001710BF" w:rsidRDefault="0064742D" w:rsidP="0064742D">
      <w:pPr>
        <w:numPr>
          <w:ilvl w:val="0"/>
          <w:numId w:val="2"/>
        </w:numPr>
        <w:tabs>
          <w:tab w:val="clear" w:pos="1005"/>
          <w:tab w:val="left" w:pos="26"/>
          <w:tab w:val="num" w:pos="746"/>
          <w:tab w:val="left" w:pos="1106"/>
        </w:tabs>
        <w:ind w:hanging="979"/>
        <w:jc w:val="lowKashida"/>
        <w:rPr>
          <w:rFonts w:cs="PT Bold Heading" w:hint="cs"/>
          <w:sz w:val="34"/>
          <w:szCs w:val="34"/>
        </w:rPr>
      </w:pPr>
      <w:r w:rsidRPr="001710BF">
        <w:rPr>
          <w:rFonts w:cs="PT Bold Heading" w:hint="cs"/>
          <w:sz w:val="34"/>
          <w:szCs w:val="34"/>
          <w:rtl/>
        </w:rPr>
        <w:t>مبدأ استعداد الرياضي للتوجيه:-</w:t>
      </w:r>
    </w:p>
    <w:p w:rsidR="0064742D" w:rsidRDefault="0064742D" w:rsidP="0064742D">
      <w:pPr>
        <w:tabs>
          <w:tab w:val="left" w:pos="26"/>
          <w:tab w:val="left" w:pos="1106"/>
        </w:tabs>
        <w:ind w:left="26" w:firstLine="540"/>
        <w:jc w:val="lowKashida"/>
        <w:rPr>
          <w:rFonts w:cs="Simplified Arabic" w:hint="cs"/>
          <w:b/>
          <w:bCs/>
          <w:sz w:val="34"/>
          <w:szCs w:val="34"/>
          <w:rtl/>
        </w:rPr>
      </w:pPr>
      <w:r>
        <w:rPr>
          <w:rFonts w:cs="Simplified Arabic" w:hint="cs"/>
          <w:b/>
          <w:bCs/>
          <w:sz w:val="34"/>
          <w:szCs w:val="34"/>
          <w:rtl/>
        </w:rPr>
        <w:t>لايستطيع الأخصائي التربوي الرياضي مساعدة الناشئ الذي لايشعر أنه بحاجة إلى المساعدة ، فينبغي على الأخصائي التربوي الرياضي الإسهام بصورة إيجابية في محاولة استثارة الرياضيين وتحفيزهم للإفادة من خدماته التوجيهية والإرشادية من خلال طرائق عدة</w:t>
      </w:r>
      <w:r w:rsidRPr="00824711">
        <w:rPr>
          <w:rFonts w:cs="PT Bold Heading" w:hint="cs"/>
          <w:sz w:val="34"/>
          <w:szCs w:val="34"/>
          <w:rtl/>
        </w:rPr>
        <w:t xml:space="preserve"> مثل:</w:t>
      </w:r>
      <w:r>
        <w:rPr>
          <w:rFonts w:cs="Simplified Arabic" w:hint="cs"/>
          <w:b/>
          <w:bCs/>
          <w:sz w:val="34"/>
          <w:szCs w:val="34"/>
          <w:rtl/>
        </w:rPr>
        <w:t xml:space="preserve"> </w:t>
      </w:r>
    </w:p>
    <w:p w:rsidR="0064742D" w:rsidRDefault="0064742D" w:rsidP="0064742D">
      <w:pPr>
        <w:tabs>
          <w:tab w:val="left" w:pos="26"/>
          <w:tab w:val="left" w:pos="1106"/>
        </w:tabs>
        <w:ind w:left="26" w:firstLine="540"/>
        <w:jc w:val="lowKashida"/>
        <w:rPr>
          <w:rFonts w:cs="Simplified Arabic" w:hint="cs"/>
          <w:b/>
          <w:bCs/>
          <w:sz w:val="34"/>
          <w:szCs w:val="34"/>
          <w:rtl/>
        </w:rPr>
      </w:pPr>
      <w:r>
        <w:rPr>
          <w:rFonts w:cs="Simplified Arabic" w:hint="cs"/>
          <w:b/>
          <w:bCs/>
          <w:sz w:val="34"/>
          <w:szCs w:val="34"/>
          <w:rtl/>
        </w:rPr>
        <w:t xml:space="preserve">يكون صادراً من الرياضي الناشئ نفسه ويجب أن يلحظ الموجه الرياضي التربوي أنه لاتوجد شخصيتان متماثلتان في تكوينهما وفي أنواع المشاكل التي يعانيان منها حتى لو بدا بوضوح أن المشاكل واحدة أو متشابهة ، إذ لابد إنها ترجع لأسباب مختلفة </w:t>
      </w:r>
      <w:r>
        <w:rPr>
          <w:rFonts w:cs="Simplified Arabic" w:hint="cs"/>
          <w:b/>
          <w:bCs/>
          <w:sz w:val="34"/>
          <w:szCs w:val="34"/>
          <w:rtl/>
        </w:rPr>
        <w:lastRenderedPageBreak/>
        <w:t>وعلى ذلك فإن التوجيه والإرشاد الذي قد يفيد ناشئ / ناشئه قد لايفيد مع ناشئ / ناشئه أخرى.</w:t>
      </w:r>
    </w:p>
    <w:p w:rsidR="0064742D" w:rsidRPr="001710BF" w:rsidRDefault="0064742D" w:rsidP="0064742D">
      <w:pPr>
        <w:numPr>
          <w:ilvl w:val="0"/>
          <w:numId w:val="2"/>
        </w:numPr>
        <w:tabs>
          <w:tab w:val="clear" w:pos="1005"/>
          <w:tab w:val="left" w:pos="26"/>
          <w:tab w:val="num" w:pos="566"/>
          <w:tab w:val="left" w:pos="1106"/>
        </w:tabs>
        <w:ind w:hanging="979"/>
        <w:jc w:val="lowKashida"/>
        <w:rPr>
          <w:rFonts w:cs="PT Bold Heading" w:hint="cs"/>
          <w:sz w:val="34"/>
          <w:szCs w:val="34"/>
        </w:rPr>
      </w:pPr>
      <w:r w:rsidRPr="001710BF">
        <w:rPr>
          <w:rFonts w:cs="PT Bold Heading" w:hint="cs"/>
          <w:sz w:val="34"/>
          <w:szCs w:val="34"/>
          <w:rtl/>
        </w:rPr>
        <w:t>التقبل:-</w:t>
      </w:r>
    </w:p>
    <w:p w:rsidR="0064742D" w:rsidRDefault="0064742D" w:rsidP="0064742D">
      <w:pPr>
        <w:tabs>
          <w:tab w:val="left" w:pos="26"/>
          <w:tab w:val="left" w:pos="566"/>
        </w:tabs>
        <w:ind w:left="-154"/>
        <w:jc w:val="lowKashida"/>
        <w:rPr>
          <w:rFonts w:cs="Simplified Arabic" w:hint="cs"/>
          <w:b/>
          <w:bCs/>
          <w:sz w:val="34"/>
          <w:szCs w:val="34"/>
        </w:rPr>
      </w:pPr>
      <w:r>
        <w:rPr>
          <w:rFonts w:cs="Simplified Arabic" w:hint="cs"/>
          <w:b/>
          <w:bCs/>
          <w:sz w:val="34"/>
          <w:szCs w:val="34"/>
          <w:rtl/>
        </w:rPr>
        <w:tab/>
      </w:r>
      <w:r>
        <w:rPr>
          <w:rFonts w:cs="Simplified Arabic" w:hint="cs"/>
          <w:b/>
          <w:bCs/>
          <w:sz w:val="34"/>
          <w:szCs w:val="34"/>
          <w:rtl/>
        </w:rPr>
        <w:tab/>
        <w:t>المقصود بالتقبل هنا هو التقبل المتبادل أي تقبل الرياضي الناشئ للموجه الرياضي التربوي ، كذلك تقبل الموجه للرياضي .. أي تقبل الإرشادات من الطرفين والعمل بها.</w:t>
      </w:r>
    </w:p>
    <w:p w:rsidR="0064742D" w:rsidRPr="001710BF" w:rsidRDefault="0064742D" w:rsidP="0064742D">
      <w:pPr>
        <w:numPr>
          <w:ilvl w:val="0"/>
          <w:numId w:val="2"/>
        </w:numPr>
        <w:tabs>
          <w:tab w:val="clear" w:pos="1005"/>
          <w:tab w:val="left" w:pos="26"/>
          <w:tab w:val="num" w:pos="386"/>
          <w:tab w:val="left" w:pos="1106"/>
        </w:tabs>
        <w:ind w:left="926" w:hanging="979"/>
        <w:jc w:val="lowKashida"/>
        <w:rPr>
          <w:rFonts w:cs="PT Bold Heading" w:hint="cs"/>
          <w:sz w:val="34"/>
          <w:szCs w:val="34"/>
        </w:rPr>
      </w:pPr>
      <w:r>
        <w:rPr>
          <w:rFonts w:cs="PT Bold Heading" w:hint="cs"/>
          <w:sz w:val="34"/>
          <w:szCs w:val="34"/>
          <w:rtl/>
        </w:rPr>
        <w:t>عدُّ</w:t>
      </w:r>
      <w:r w:rsidRPr="001710BF">
        <w:rPr>
          <w:rFonts w:cs="PT Bold Heading" w:hint="cs"/>
          <w:sz w:val="34"/>
          <w:szCs w:val="34"/>
          <w:rtl/>
        </w:rPr>
        <w:t xml:space="preserve"> التوجيه عملية تعلم :-</w:t>
      </w:r>
    </w:p>
    <w:p w:rsidR="0064742D" w:rsidRDefault="0064742D" w:rsidP="0064742D">
      <w:pPr>
        <w:tabs>
          <w:tab w:val="left" w:pos="26"/>
          <w:tab w:val="left" w:pos="566"/>
        </w:tabs>
        <w:ind w:left="-154"/>
        <w:jc w:val="lowKashida"/>
        <w:rPr>
          <w:rFonts w:cs="Simplified Arabic" w:hint="cs"/>
          <w:b/>
          <w:bCs/>
          <w:sz w:val="34"/>
          <w:szCs w:val="34"/>
          <w:rtl/>
        </w:rPr>
      </w:pPr>
      <w:r>
        <w:rPr>
          <w:rFonts w:cs="Simplified Arabic" w:hint="cs"/>
          <w:b/>
          <w:bCs/>
          <w:sz w:val="34"/>
          <w:szCs w:val="34"/>
          <w:rtl/>
        </w:rPr>
        <w:tab/>
      </w:r>
      <w:r>
        <w:rPr>
          <w:rFonts w:cs="Simplified Arabic" w:hint="cs"/>
          <w:b/>
          <w:bCs/>
          <w:sz w:val="34"/>
          <w:szCs w:val="34"/>
          <w:rtl/>
        </w:rPr>
        <w:tab/>
        <w:t>إنَّ عملية التوجيه عملية تعلم ،إذ يتعلم الرياضي منها اتجاهات وقيماً وأنماطاً سلوكية جديدة ويغير من وجهة نظره نحو نفسه ونحو زملائه ونحو الفريق الذي ينتمي إليه ونحو المبادئ والأشياء ويتعلم طرقاً جديدة لمعالجة مايعترضه من مشكلات بدلاً من الحيل الهروبية أو العدوانية أو الخدّاعة.</w:t>
      </w:r>
    </w:p>
    <w:p w:rsidR="0064742D" w:rsidRDefault="0064742D" w:rsidP="0064742D">
      <w:pPr>
        <w:tabs>
          <w:tab w:val="left" w:pos="26"/>
          <w:tab w:val="left" w:pos="566"/>
        </w:tabs>
        <w:ind w:left="-154"/>
        <w:jc w:val="lowKashida"/>
        <w:rPr>
          <w:rFonts w:cs="Simplified Arabic" w:hint="cs"/>
          <w:b/>
          <w:bCs/>
          <w:sz w:val="34"/>
          <w:szCs w:val="34"/>
          <w:rtl/>
        </w:rPr>
      </w:pPr>
    </w:p>
    <w:p w:rsidR="0064742D" w:rsidRDefault="0064742D" w:rsidP="0064742D">
      <w:pPr>
        <w:tabs>
          <w:tab w:val="left" w:pos="26"/>
          <w:tab w:val="left" w:pos="566"/>
        </w:tabs>
        <w:ind w:left="-154"/>
        <w:jc w:val="lowKashida"/>
        <w:rPr>
          <w:rFonts w:cs="Simplified Arabic" w:hint="cs"/>
          <w:b/>
          <w:bCs/>
          <w:sz w:val="34"/>
          <w:szCs w:val="34"/>
          <w:rtl/>
        </w:rPr>
      </w:pPr>
    </w:p>
    <w:p w:rsidR="0064742D" w:rsidRPr="001710BF" w:rsidRDefault="0064742D" w:rsidP="0064742D">
      <w:pPr>
        <w:tabs>
          <w:tab w:val="left" w:pos="26"/>
          <w:tab w:val="left" w:pos="566"/>
        </w:tabs>
        <w:ind w:left="-154"/>
        <w:jc w:val="lowKashida"/>
        <w:rPr>
          <w:rFonts w:cs="PT Bold Heading" w:hint="cs"/>
          <w:sz w:val="34"/>
          <w:szCs w:val="34"/>
          <w:rtl/>
        </w:rPr>
      </w:pPr>
      <w:r w:rsidRPr="001710BF">
        <w:rPr>
          <w:rFonts w:cs="Simplified Arabic" w:hint="cs"/>
          <w:sz w:val="34"/>
          <w:szCs w:val="34"/>
          <w:rtl/>
        </w:rPr>
        <w:t>4-</w:t>
      </w:r>
      <w:r w:rsidRPr="001710BF">
        <w:rPr>
          <w:rFonts w:cs="PT Bold Heading" w:hint="cs"/>
          <w:sz w:val="34"/>
          <w:szCs w:val="34"/>
          <w:rtl/>
        </w:rPr>
        <w:t xml:space="preserve">  </w:t>
      </w:r>
      <w:r>
        <w:rPr>
          <w:rFonts w:cs="PT Bold Heading" w:hint="cs"/>
          <w:sz w:val="34"/>
          <w:szCs w:val="34"/>
          <w:rtl/>
        </w:rPr>
        <w:t>الاهتمام بالرياضي الناشئ كعضو في جماعة</w:t>
      </w:r>
      <w:r w:rsidRPr="001710BF">
        <w:rPr>
          <w:rFonts w:cs="PT Bold Heading" w:hint="cs"/>
          <w:sz w:val="34"/>
          <w:szCs w:val="34"/>
          <w:rtl/>
        </w:rPr>
        <w:t>:-</w:t>
      </w:r>
    </w:p>
    <w:p w:rsidR="0064742D" w:rsidRDefault="0064742D" w:rsidP="0064742D">
      <w:pPr>
        <w:tabs>
          <w:tab w:val="left" w:pos="26"/>
          <w:tab w:val="left" w:pos="566"/>
        </w:tabs>
        <w:ind w:left="-154"/>
        <w:jc w:val="lowKashida"/>
        <w:rPr>
          <w:rFonts w:cs="Simplified Arabic" w:hint="cs"/>
          <w:b/>
          <w:bCs/>
          <w:sz w:val="34"/>
          <w:szCs w:val="34"/>
          <w:rtl/>
        </w:rPr>
      </w:pPr>
      <w:r>
        <w:rPr>
          <w:rFonts w:cs="Simplified Arabic" w:hint="cs"/>
          <w:b/>
          <w:bCs/>
          <w:sz w:val="34"/>
          <w:szCs w:val="34"/>
          <w:rtl/>
        </w:rPr>
        <w:tab/>
      </w:r>
      <w:r>
        <w:rPr>
          <w:rFonts w:cs="Simplified Arabic" w:hint="cs"/>
          <w:b/>
          <w:bCs/>
          <w:sz w:val="34"/>
          <w:szCs w:val="34"/>
          <w:rtl/>
        </w:rPr>
        <w:tab/>
        <w:t>يتم التوجه للناشئ من حيث أنه فرد يختلف عن غيره من الرياضيين في سمات شخصيته ، كما يهتم أيضاً من حيث أنه عضو في جماعات مختلفة كالفريق الرياضي . والتوجيه عملية تتضمن خدمات لكل الرياضيين على السواء فخدمات التوجيه وقائية وارتقائية ، كما أنها خدمات تشخيصية وعلاجية.</w:t>
      </w:r>
    </w:p>
    <w:p w:rsidR="0064742D" w:rsidRPr="001710BF" w:rsidRDefault="0064742D" w:rsidP="0064742D">
      <w:pPr>
        <w:tabs>
          <w:tab w:val="left" w:pos="26"/>
          <w:tab w:val="left" w:pos="566"/>
        </w:tabs>
        <w:ind w:left="-154"/>
        <w:jc w:val="lowKashida"/>
        <w:rPr>
          <w:rFonts w:cs="PT Bold Heading" w:hint="cs"/>
          <w:sz w:val="34"/>
          <w:szCs w:val="34"/>
          <w:rtl/>
        </w:rPr>
      </w:pPr>
      <w:r w:rsidRPr="001710BF">
        <w:rPr>
          <w:rFonts w:cs="Simplified Arabic" w:hint="cs"/>
          <w:sz w:val="34"/>
          <w:szCs w:val="34"/>
          <w:rtl/>
        </w:rPr>
        <w:t>5</w:t>
      </w:r>
      <w:r w:rsidRPr="001710BF">
        <w:rPr>
          <w:rFonts w:cs="PT Bold Heading" w:hint="cs"/>
          <w:sz w:val="34"/>
          <w:szCs w:val="34"/>
          <w:rtl/>
        </w:rPr>
        <w:t xml:space="preserve">- </w:t>
      </w:r>
      <w:r>
        <w:rPr>
          <w:rFonts w:cs="PT Bold Heading" w:hint="cs"/>
          <w:sz w:val="34"/>
          <w:szCs w:val="34"/>
          <w:rtl/>
        </w:rPr>
        <w:t>ٱ</w:t>
      </w:r>
      <w:r w:rsidRPr="001710BF">
        <w:rPr>
          <w:rFonts w:cs="PT Bold Heading" w:hint="cs"/>
          <w:sz w:val="34"/>
          <w:szCs w:val="34"/>
          <w:rtl/>
        </w:rPr>
        <w:t>ستمرارية التوجية:-</w:t>
      </w:r>
    </w:p>
    <w:p w:rsidR="007A0F5C" w:rsidRDefault="0064742D" w:rsidP="0064742D">
      <w:r>
        <w:rPr>
          <w:rFonts w:cs="Simplified Arabic" w:hint="cs"/>
          <w:b/>
          <w:bCs/>
          <w:sz w:val="34"/>
          <w:szCs w:val="34"/>
          <w:rtl/>
        </w:rPr>
        <w:tab/>
      </w:r>
      <w:r>
        <w:rPr>
          <w:rFonts w:cs="Simplified Arabic" w:hint="cs"/>
          <w:b/>
          <w:bCs/>
          <w:sz w:val="34"/>
          <w:szCs w:val="34"/>
          <w:rtl/>
        </w:rPr>
        <w:tab/>
        <w:t>إنَّ عملية التوجيه تتميز بالاستمرارية وليست مقصورة على خدمات تؤدى للرياضي في أثناء مدة التدريب أو المنافسات الرياضية فقط ، والاتجاه الحديث السائد هو أن التوجيه عملية تبدأ مع الرياضي من بداية ممارسته للنشاط الرياضي حتى بلوغه أعلى المستويات الرياضية</w:t>
      </w:r>
      <w:r>
        <w:rPr>
          <w:rFonts w:cs="Simplified Arabic" w:hint="cs"/>
          <w:b/>
          <w:bCs/>
          <w:sz w:val="34"/>
          <w:szCs w:val="34"/>
          <w:rtl/>
        </w:rPr>
        <w:t>.</w:t>
      </w:r>
    </w:p>
    <w:sectPr w:rsidR="007A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C68D0"/>
    <w:multiLevelType w:val="hybridMultilevel"/>
    <w:tmpl w:val="AB462072"/>
    <w:lvl w:ilvl="0" w:tplc="39B687B6">
      <w:start w:val="1"/>
      <w:numFmt w:val="decimal"/>
      <w:lvlText w:val="%1-"/>
      <w:lvlJc w:val="left"/>
      <w:pPr>
        <w:tabs>
          <w:tab w:val="num" w:pos="1005"/>
        </w:tabs>
        <w:ind w:left="1005" w:hanging="720"/>
      </w:pPr>
      <w:rPr>
        <w:rFonts w:cs="Simplified Arabic"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nsid w:val="5A9C6B71"/>
    <w:multiLevelType w:val="hybridMultilevel"/>
    <w:tmpl w:val="24760C3A"/>
    <w:lvl w:ilvl="0" w:tplc="7EE23E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2D"/>
    <w:rsid w:val="0064742D"/>
    <w:rsid w:val="007A0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2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2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2018-12-20T16:07:00Z</dcterms:created>
  <dcterms:modified xsi:type="dcterms:W3CDTF">2018-12-20T16:07:00Z</dcterms:modified>
</cp:coreProperties>
</file>