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D" w:rsidRPr="009B5A3F" w:rsidRDefault="000C2C1D" w:rsidP="000C2C1D">
      <w:pPr>
        <w:jc w:val="lowKashida"/>
        <w:rPr>
          <w:rFonts w:cs="Monotype Koufi" w:hint="cs"/>
          <w:color w:val="000000"/>
          <w:sz w:val="30"/>
          <w:szCs w:val="30"/>
          <w:rtl/>
        </w:rPr>
      </w:pPr>
      <w:bookmarkStart w:id="0" w:name="_GoBack"/>
      <w:bookmarkEnd w:id="0"/>
      <w:r w:rsidRPr="009B5A3F">
        <w:rPr>
          <w:rFonts w:cs="Monotype Koufi" w:hint="cs"/>
          <w:color w:val="000000"/>
          <w:sz w:val="30"/>
          <w:szCs w:val="30"/>
          <w:rtl/>
        </w:rPr>
        <w:t>مكانة القرآن الكريم:</w:t>
      </w:r>
    </w:p>
    <w:p w:rsidR="000C2C1D" w:rsidRPr="009B5A3F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ab/>
        <w:t>إن</w:t>
      </w:r>
      <w:r>
        <w:rPr>
          <w:rFonts w:cs="Simplified Arabic" w:hint="cs"/>
          <w:color w:val="000000"/>
          <w:sz w:val="32"/>
          <w:szCs w:val="32"/>
          <w:rtl/>
        </w:rPr>
        <w:t>ّ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القرآن كتاب أبديّ خالد ينطوي على أبعاد مختلفة وبطون </w:t>
      </w:r>
      <w:proofErr w:type="spellStart"/>
      <w:r w:rsidRPr="009B5A3F">
        <w:rPr>
          <w:rFonts w:cs="Simplified Arabic" w:hint="cs"/>
          <w:color w:val="000000"/>
          <w:sz w:val="32"/>
          <w:szCs w:val="32"/>
          <w:rtl/>
        </w:rPr>
        <w:t>لايمكن</w:t>
      </w:r>
      <w:proofErr w:type="spellEnd"/>
      <w:r w:rsidRPr="009B5A3F">
        <w:rPr>
          <w:rFonts w:cs="Simplified Arabic" w:hint="cs"/>
          <w:color w:val="000000"/>
          <w:sz w:val="32"/>
          <w:szCs w:val="32"/>
          <w:rtl/>
        </w:rPr>
        <w:t xml:space="preserve"> للبشر أن يكتشف جميعها جملة واحدة، وإنما يكشف في كل عنصر بعداً من أبعاده، وحقيقة من حقائقه.</w:t>
      </w:r>
    </w:p>
    <w:p w:rsidR="000C2C1D" w:rsidRPr="009B5A3F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ab/>
        <w:t>فأبعاد القرآن لامتناهية، وإليها يشير ابن عباس بقوله: "</w:t>
      </w:r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r w:rsidRPr="009B5A3F">
        <w:rPr>
          <w:rFonts w:cs="Simplified Arabic" w:hint="cs"/>
          <w:color w:val="000000"/>
          <w:sz w:val="32"/>
          <w:szCs w:val="32"/>
          <w:rtl/>
        </w:rPr>
        <w:t>إنَّ القرآن يفسره الزمان</w:t>
      </w:r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r w:rsidRPr="009B5A3F">
        <w:rPr>
          <w:rFonts w:cs="Simplified Arabic" w:hint="cs"/>
          <w:color w:val="000000"/>
          <w:sz w:val="32"/>
          <w:szCs w:val="32"/>
          <w:rtl/>
        </w:rPr>
        <w:t>"</w:t>
      </w:r>
      <w:r w:rsidRPr="009E28E5">
        <w:rPr>
          <w:rStyle w:val="a4"/>
          <w:rFonts w:cs="Simplified Arabic"/>
          <w:color w:val="000000"/>
          <w:sz w:val="28"/>
          <w:szCs w:val="28"/>
          <w:rtl/>
        </w:rPr>
        <w:t>(</w:t>
      </w:r>
      <w:r w:rsidRPr="009E28E5">
        <w:rPr>
          <w:rStyle w:val="a4"/>
          <w:rFonts w:cs="Simplified Arabic"/>
          <w:color w:val="000000"/>
          <w:sz w:val="28"/>
          <w:szCs w:val="28"/>
          <w:rtl/>
        </w:rPr>
        <w:footnoteReference w:id="1"/>
      </w:r>
      <w:r w:rsidRPr="009E28E5">
        <w:rPr>
          <w:rStyle w:val="a4"/>
          <w:rFonts w:cs="Simplified Arabic"/>
          <w:color w:val="000000"/>
          <w:sz w:val="28"/>
          <w:szCs w:val="28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>.</w:t>
      </w:r>
    </w:p>
    <w:p w:rsidR="000C2C1D" w:rsidRDefault="000C2C1D" w:rsidP="000C2C1D">
      <w:pPr>
        <w:jc w:val="lowKashida"/>
        <w:rPr>
          <w:rFonts w:cs="Simplified Arabic" w:hint="cs"/>
          <w:b/>
          <w:bCs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 xml:space="preserve">وإلى ذلك يشير رسول الله </w:t>
      </w:r>
      <w:r w:rsidRPr="00157BB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(</w:t>
      </w:r>
      <w:r w:rsidRPr="00157BB5">
        <w:rPr>
          <w:rFonts w:ascii="Cambria Math" w:hAnsi="Cambria Math" w:cs="Simplified Arabic"/>
          <w:color w:val="000000"/>
          <w:sz w:val="40"/>
          <w:szCs w:val="40"/>
          <w:rtl/>
        </w:rPr>
        <w:sym w:font="V_Symbols" w:char="F036"/>
      </w:r>
      <w:r w:rsidRPr="00157BB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من كلامه إذ يتحدث حول أبعاد القرآن ومكانته وأغواره، فيقول: 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"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فإذا التبست عليكم الفتن كقطع الليل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المظلم فعليكم بالقرآن، فإنّه شافع مُشَـفَّع، ومَا حِلٌ مُصدّق، من جعله أمامه قاده الى الجنّ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ة، ومن جعله خلف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 ساقه إلى النار، وهو الدليل يدل على خير سبيل، وهو كتاب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فيه تفصيل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وبيان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وتحصيل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وهو الف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صل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ليس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بالهزل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وله ظهر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وبطن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فظاهر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 ح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ك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ْ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م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وب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اط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ن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ع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ل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ْ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م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ظاهره أنيق وباطنه عميق، له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نجوم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ٌ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وعلى ن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جوم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 ن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جوم، </w:t>
      </w:r>
    </w:p>
    <w:p w:rsidR="000C2C1D" w:rsidRPr="009B5A3F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proofErr w:type="gramStart"/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لا</w:t>
      </w:r>
      <w:proofErr w:type="gramEnd"/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ت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حصى عجائ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ه، ولا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ت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بلى </w:t>
      </w:r>
      <w:proofErr w:type="spellStart"/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غ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رائب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ه</w:t>
      </w:r>
      <w:proofErr w:type="spellEnd"/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، فيه مصابيح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اله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دى ومنار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الحكمة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FD7CF0">
        <w:rPr>
          <w:rFonts w:cs="Simplified Arabic" w:hint="cs"/>
          <w:b/>
          <w:bCs/>
          <w:color w:val="000000"/>
          <w:sz w:val="32"/>
          <w:szCs w:val="32"/>
          <w:rtl/>
        </w:rPr>
        <w:t>..."</w:t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t>(</w:t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footnoteReference w:id="2"/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>.</w:t>
      </w:r>
    </w:p>
    <w:p w:rsidR="000C2C1D" w:rsidRPr="009B5A3F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ab/>
        <w:t xml:space="preserve">كما أشار أمير المؤمنين علي </w:t>
      </w:r>
      <w:r w:rsidRPr="00157BB5">
        <w:rPr>
          <w:rFonts w:cs="Simplified Arabic" w:hint="cs"/>
          <w:color w:val="000000"/>
          <w:sz w:val="33"/>
          <w:szCs w:val="33"/>
          <w:rtl/>
        </w:rPr>
        <w:sym w:font="V_Symbols" w:char="F037"/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إلى هذه الأبعاد اللامتناهية، وقال في معرض كلامه عن القرآن: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"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ثم أنزل عليه الكتاب نوراً لا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تُ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طفأ مصابيحه، وس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راجاً لا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ي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خبو ت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وق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د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ه، وب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حراً لا ي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د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ْ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ك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ق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ع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ْ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ه... فهو ي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َ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نابيع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الع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لم وب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ُ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حور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ِ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ه، وبحراً لا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ينزفه المستنزفون..."</w:t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t>(</w:t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footnoteReference w:id="3"/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>.</w:t>
      </w:r>
    </w:p>
    <w:p w:rsidR="000C2C1D" w:rsidRPr="009B5A3F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ab/>
        <w:t>إن هذا البعد اللامتناهي للقرآن لم يكن أمرا</w:t>
      </w:r>
      <w:r>
        <w:rPr>
          <w:rFonts w:cs="Simplified Arabic" w:hint="cs"/>
          <w:color w:val="000000"/>
          <w:sz w:val="32"/>
          <w:szCs w:val="32"/>
          <w:rtl/>
        </w:rPr>
        <w:t>ً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خفياً على بلغاء العرب في صدر الرسالة، فكان الوليد بن المغيرة يشيد بالقرآن ويصفه بقوله: "والله لقد سمعت من </w:t>
      </w:r>
      <w:r w:rsidRPr="009B5A3F">
        <w:rPr>
          <w:rFonts w:cs="Simplified Arabic" w:hint="cs"/>
          <w:color w:val="000000"/>
          <w:sz w:val="32"/>
          <w:szCs w:val="32"/>
          <w:rtl/>
        </w:rPr>
        <w:lastRenderedPageBreak/>
        <w:t xml:space="preserve">محمد كلاماً </w:t>
      </w:r>
      <w:proofErr w:type="spellStart"/>
      <w:r w:rsidRPr="009B5A3F">
        <w:rPr>
          <w:rFonts w:cs="Simplified Arabic" w:hint="cs"/>
          <w:color w:val="000000"/>
          <w:sz w:val="32"/>
          <w:szCs w:val="32"/>
          <w:rtl/>
        </w:rPr>
        <w:t>ماهو</w:t>
      </w:r>
      <w:proofErr w:type="spellEnd"/>
      <w:r w:rsidRPr="009B5A3F">
        <w:rPr>
          <w:rFonts w:cs="Simplified Arabic" w:hint="cs"/>
          <w:color w:val="000000"/>
          <w:sz w:val="32"/>
          <w:szCs w:val="32"/>
          <w:rtl/>
        </w:rPr>
        <w:t xml:space="preserve"> من كلام الإنس </w:t>
      </w:r>
      <w:proofErr w:type="spellStart"/>
      <w:r w:rsidRPr="009B5A3F">
        <w:rPr>
          <w:rFonts w:cs="Simplified Arabic" w:hint="cs"/>
          <w:color w:val="000000"/>
          <w:sz w:val="32"/>
          <w:szCs w:val="32"/>
          <w:rtl/>
        </w:rPr>
        <w:t>ولامن</w:t>
      </w:r>
      <w:proofErr w:type="spellEnd"/>
      <w:r w:rsidRPr="009B5A3F">
        <w:rPr>
          <w:rFonts w:cs="Simplified Arabic" w:hint="cs"/>
          <w:color w:val="000000"/>
          <w:sz w:val="32"/>
          <w:szCs w:val="32"/>
          <w:rtl/>
        </w:rPr>
        <w:t xml:space="preserve"> كلام الجن، وانّ له لحلاوة، وإن عليه لطلاوة، وإنّ أعلاه لمثمر، وإنّ أسفله </w:t>
      </w:r>
      <w:proofErr w:type="spellStart"/>
      <w:r w:rsidRPr="009B5A3F">
        <w:rPr>
          <w:rFonts w:cs="Simplified Arabic" w:hint="cs"/>
          <w:color w:val="000000"/>
          <w:sz w:val="32"/>
          <w:szCs w:val="32"/>
          <w:rtl/>
        </w:rPr>
        <w:t>لمغدق</w:t>
      </w:r>
      <w:proofErr w:type="spellEnd"/>
      <w:r w:rsidRPr="009B5A3F">
        <w:rPr>
          <w:rFonts w:cs="Simplified Arabic" w:hint="cs"/>
          <w:color w:val="000000"/>
          <w:sz w:val="32"/>
          <w:szCs w:val="32"/>
          <w:rtl/>
        </w:rPr>
        <w:t>، وإنّه ليعلو وما يعلى عليه"</w:t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t>(</w:t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footnoteReference w:id="4"/>
      </w:r>
      <w:r w:rsidRPr="00157BB5">
        <w:rPr>
          <w:rStyle w:val="a4"/>
          <w:rFonts w:cs="Simplified Arabic"/>
          <w:color w:val="000000"/>
          <w:sz w:val="28"/>
          <w:szCs w:val="28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>.</w:t>
      </w:r>
    </w:p>
    <w:p w:rsidR="000C2C1D" w:rsidRDefault="000C2C1D" w:rsidP="000C2C1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 w:rsidRPr="009B5A3F">
        <w:rPr>
          <w:rFonts w:cs="Simplified Arabic" w:hint="cs"/>
          <w:color w:val="000000"/>
          <w:sz w:val="32"/>
          <w:szCs w:val="32"/>
          <w:rtl/>
        </w:rPr>
        <w:tab/>
        <w:t xml:space="preserve">إنه سبحانه خصّ </w:t>
      </w:r>
      <w:r>
        <w:rPr>
          <w:rFonts w:cs="Simplified Arabic" w:hint="cs"/>
          <w:color w:val="000000"/>
          <w:sz w:val="32"/>
          <w:szCs w:val="32"/>
          <w:rtl/>
        </w:rPr>
        <w:t>نَبِيَّهُ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بتلك المعجزة الخالدة وما هذ</w:t>
      </w:r>
      <w:r w:rsidRPr="009B5A3F">
        <w:rPr>
          <w:rFonts w:cs="Simplified Arabic" w:hint="eastAsia"/>
          <w:color w:val="000000"/>
          <w:sz w:val="32"/>
          <w:szCs w:val="32"/>
          <w:rtl/>
        </w:rPr>
        <w:t>ا</w:t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إلا لأن الدين الخالد يستدعي معجزة خالدة، ودليلاً وبرهاناً أبدياً </w:t>
      </w:r>
      <w:proofErr w:type="spellStart"/>
      <w:r w:rsidRPr="009B5A3F">
        <w:rPr>
          <w:rFonts w:cs="Simplified Arabic" w:hint="cs"/>
          <w:color w:val="000000"/>
          <w:sz w:val="32"/>
          <w:szCs w:val="32"/>
          <w:rtl/>
        </w:rPr>
        <w:t>لايختص</w:t>
      </w:r>
      <w:proofErr w:type="spellEnd"/>
      <w:r w:rsidRPr="009B5A3F">
        <w:rPr>
          <w:rFonts w:cs="Simplified Arabic" w:hint="cs"/>
          <w:color w:val="000000"/>
          <w:sz w:val="32"/>
          <w:szCs w:val="32"/>
          <w:rtl/>
        </w:rPr>
        <w:t xml:space="preserve"> ب</w:t>
      </w:r>
      <w:proofErr w:type="gramStart"/>
      <w:r w:rsidRPr="009B5A3F">
        <w:rPr>
          <w:rFonts w:cs="Simplified Arabic" w:hint="cs"/>
          <w:color w:val="000000"/>
          <w:sz w:val="32"/>
          <w:szCs w:val="32"/>
          <w:rtl/>
        </w:rPr>
        <w:t>عصر د</w:t>
      </w:r>
      <w:proofErr w:type="gramEnd"/>
      <w:r w:rsidRPr="009B5A3F">
        <w:rPr>
          <w:rFonts w:cs="Simplified Arabic" w:hint="cs"/>
          <w:color w:val="000000"/>
          <w:sz w:val="32"/>
          <w:szCs w:val="32"/>
          <w:rtl/>
        </w:rPr>
        <w:t xml:space="preserve">ون عصر، وإلى هذا يشير الإمام علي بن موسى الرضا </w:t>
      </w:r>
      <w:r w:rsidRPr="00491A30">
        <w:rPr>
          <w:rFonts w:cs="Simplified Arabic" w:hint="cs"/>
          <w:color w:val="000000"/>
          <w:sz w:val="33"/>
          <w:szCs w:val="33"/>
          <w:rtl/>
        </w:rPr>
        <w:sym w:font="V_Symbols" w:char="F037"/>
      </w:r>
      <w:r w:rsidRPr="009B5A3F">
        <w:rPr>
          <w:rFonts w:cs="Simplified Arabic" w:hint="cs"/>
          <w:color w:val="000000"/>
          <w:sz w:val="32"/>
          <w:szCs w:val="32"/>
          <w:rtl/>
        </w:rPr>
        <w:t xml:space="preserve"> حين سأله السائل،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وقال: ما بال القرآن لا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يزداد عند النشر والدرس إلا غضاضة؟ فقال الإمام: "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إنّ الله تعالى لم يجعله لزمان دون زمان، ولا لناس دون ناس، فهو في كل زمان جديد، وعند كل قوم غضٌّ إلى يوم القيامة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294571">
        <w:rPr>
          <w:rFonts w:cs="Simplified Arabic" w:hint="cs"/>
          <w:b/>
          <w:bCs/>
          <w:color w:val="000000"/>
          <w:sz w:val="32"/>
          <w:szCs w:val="32"/>
          <w:rtl/>
        </w:rPr>
        <w:t>"</w:t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t>(</w:t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footnoteReference w:id="5"/>
      </w:r>
      <w:r w:rsidRPr="00491A30">
        <w:rPr>
          <w:rStyle w:val="a4"/>
          <w:rFonts w:cs="Simplified Arabic"/>
          <w:color w:val="000000"/>
          <w:sz w:val="28"/>
          <w:szCs w:val="28"/>
          <w:rtl/>
        </w:rPr>
        <w:t>)</w:t>
      </w:r>
      <w:r w:rsidRPr="009B5A3F">
        <w:rPr>
          <w:rFonts w:cs="Simplified Arabic" w:hint="cs"/>
          <w:color w:val="000000"/>
          <w:sz w:val="32"/>
          <w:szCs w:val="32"/>
          <w:rtl/>
        </w:rPr>
        <w:t>.</w:t>
      </w:r>
    </w:p>
    <w:p w:rsidR="001E07DF" w:rsidRDefault="001E07DF"/>
    <w:sectPr w:rsidR="001E07DF" w:rsidSect="00C019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F4" w:rsidRDefault="003F2EF4" w:rsidP="000C2C1D">
      <w:r>
        <w:separator/>
      </w:r>
    </w:p>
  </w:endnote>
  <w:endnote w:type="continuationSeparator" w:id="0">
    <w:p w:rsidR="003F2EF4" w:rsidRDefault="003F2EF4" w:rsidP="000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F4" w:rsidRDefault="003F2EF4" w:rsidP="000C2C1D">
      <w:r>
        <w:separator/>
      </w:r>
    </w:p>
  </w:footnote>
  <w:footnote w:type="continuationSeparator" w:id="0">
    <w:p w:rsidR="003F2EF4" w:rsidRDefault="003F2EF4" w:rsidP="000C2C1D">
      <w:r>
        <w:continuationSeparator/>
      </w:r>
    </w:p>
  </w:footnote>
  <w:footnote w:id="1">
    <w:p w:rsidR="000C2C1D" w:rsidRPr="00CC6CAE" w:rsidRDefault="000C2C1D" w:rsidP="000C2C1D">
      <w:pPr>
        <w:pStyle w:val="a3"/>
        <w:tabs>
          <w:tab w:val="left" w:pos="206"/>
        </w:tabs>
        <w:ind w:left="386" w:hanging="360"/>
        <w:jc w:val="lowKashida"/>
        <w:rPr>
          <w:rFonts w:hint="cs"/>
          <w:sz w:val="28"/>
          <w:szCs w:val="28"/>
        </w:rPr>
      </w:pPr>
      <w:r w:rsidRPr="009E28E5">
        <w:rPr>
          <w:rStyle w:val="a4"/>
          <w:rFonts w:cs="Simplified Arabic"/>
          <w:sz w:val="28"/>
          <w:szCs w:val="28"/>
          <w:rtl/>
        </w:rPr>
        <w:t>(</w:t>
      </w:r>
      <w:r w:rsidRPr="009E28E5">
        <w:rPr>
          <w:rStyle w:val="a4"/>
          <w:rFonts w:cs="Simplified Arabic"/>
          <w:sz w:val="28"/>
          <w:szCs w:val="28"/>
          <w:rtl/>
        </w:rPr>
        <w:footnoteRef/>
      </w:r>
      <w:r w:rsidRPr="009E28E5">
        <w:rPr>
          <w:rStyle w:val="a4"/>
          <w:rFonts w:cs="Simplified Arabic"/>
          <w:sz w:val="28"/>
          <w:szCs w:val="28"/>
          <w:rtl/>
        </w:rPr>
        <w:t>)</w:t>
      </w:r>
      <w:r w:rsidRPr="009E28E5">
        <w:rPr>
          <w:rFonts w:cs="Simplified Arabic"/>
          <w:sz w:val="28"/>
          <w:szCs w:val="28"/>
          <w:rtl/>
        </w:rPr>
        <w:t xml:space="preserve"> </w:t>
      </w:r>
      <w:r w:rsidRPr="009E28E5">
        <w:rPr>
          <w:rFonts w:cs="Simplified Arabic" w:hint="cs"/>
          <w:sz w:val="28"/>
          <w:szCs w:val="28"/>
          <w:rtl/>
        </w:rPr>
        <w:t xml:space="preserve">  ينظر: مفاهيم القرآن</w:t>
      </w:r>
      <w:r>
        <w:rPr>
          <w:rFonts w:cs="Simplified Arabic" w:hint="cs"/>
          <w:sz w:val="28"/>
          <w:szCs w:val="28"/>
          <w:rtl/>
        </w:rPr>
        <w:t>:</w:t>
      </w:r>
      <w:r w:rsidRPr="009E28E5">
        <w:rPr>
          <w:rFonts w:cs="Simplified Arabic" w:hint="cs"/>
          <w:sz w:val="28"/>
          <w:szCs w:val="28"/>
          <w:rtl/>
        </w:rPr>
        <w:t xml:space="preserve"> 5.</w:t>
      </w:r>
    </w:p>
  </w:footnote>
  <w:footnote w:id="2">
    <w:p w:rsidR="000C2C1D" w:rsidRPr="00491A30" w:rsidRDefault="000C2C1D" w:rsidP="000C2C1D">
      <w:pPr>
        <w:pStyle w:val="a3"/>
        <w:tabs>
          <w:tab w:val="left" w:pos="206"/>
        </w:tabs>
        <w:ind w:left="566" w:hanging="540"/>
        <w:jc w:val="lowKashida"/>
        <w:rPr>
          <w:rFonts w:cs="Simplified Arabic" w:hint="cs"/>
          <w:sz w:val="28"/>
          <w:szCs w:val="28"/>
        </w:rPr>
      </w:pPr>
      <w:r w:rsidRPr="00491A30">
        <w:rPr>
          <w:rStyle w:val="a4"/>
          <w:rFonts w:cs="Simplified Arabic"/>
          <w:sz w:val="28"/>
          <w:szCs w:val="28"/>
          <w:rtl/>
        </w:rPr>
        <w:t>(</w:t>
      </w:r>
      <w:r w:rsidRPr="00491A30">
        <w:rPr>
          <w:rStyle w:val="a4"/>
          <w:rFonts w:cs="Simplified Arabic"/>
          <w:sz w:val="28"/>
          <w:szCs w:val="28"/>
          <w:rtl/>
        </w:rPr>
        <w:footnoteRef/>
      </w:r>
      <w:r w:rsidRPr="00491A30">
        <w:rPr>
          <w:rStyle w:val="a4"/>
          <w:rFonts w:cs="Simplified Arabic"/>
          <w:sz w:val="28"/>
          <w:szCs w:val="28"/>
          <w:rtl/>
        </w:rPr>
        <w:t>)</w:t>
      </w:r>
      <w:r w:rsidRPr="00491A30">
        <w:rPr>
          <w:rFonts w:cs="Simplified Arabic"/>
          <w:sz w:val="28"/>
          <w:szCs w:val="28"/>
          <w:rtl/>
        </w:rPr>
        <w:t xml:space="preserve"> </w:t>
      </w:r>
      <w:r w:rsidRPr="00491A30">
        <w:rPr>
          <w:rFonts w:cs="Simplified Arabic" w:hint="cs"/>
          <w:sz w:val="28"/>
          <w:szCs w:val="28"/>
          <w:rtl/>
        </w:rPr>
        <w:t xml:space="preserve">  الكافي: </w:t>
      </w:r>
      <w:r>
        <w:rPr>
          <w:rFonts w:cs="Simplified Arabic" w:hint="cs"/>
          <w:sz w:val="28"/>
          <w:szCs w:val="28"/>
          <w:rtl/>
        </w:rPr>
        <w:t>4</w:t>
      </w:r>
      <w:r w:rsidRPr="00491A30">
        <w:rPr>
          <w:rFonts w:cs="Simplified Arabic" w:hint="cs"/>
          <w:sz w:val="28"/>
          <w:szCs w:val="28"/>
          <w:rtl/>
        </w:rPr>
        <w:t>/59</w:t>
      </w:r>
      <w:r>
        <w:rPr>
          <w:rFonts w:cs="Simplified Arabic" w:hint="cs"/>
          <w:sz w:val="28"/>
          <w:szCs w:val="28"/>
          <w:rtl/>
        </w:rPr>
        <w:t>5</w:t>
      </w:r>
      <w:r w:rsidRPr="00491A30">
        <w:rPr>
          <w:rFonts w:cs="Simplified Arabic" w:hint="cs"/>
          <w:sz w:val="28"/>
          <w:szCs w:val="28"/>
          <w:rtl/>
        </w:rPr>
        <w:t>، كتاب فضل القرآن</w:t>
      </w:r>
      <w:r>
        <w:rPr>
          <w:rFonts w:cs="Simplified Arabic" w:hint="cs"/>
          <w:sz w:val="28"/>
          <w:szCs w:val="28"/>
          <w:rtl/>
        </w:rPr>
        <w:t>،</w:t>
      </w:r>
      <w:r w:rsidRPr="004D64E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رقم(3474)، والحديث ضعيف على المشهور،    ينظر:</w:t>
      </w:r>
      <w:r w:rsidRPr="004D64E8">
        <w:rPr>
          <w:rFonts w:ascii="Traditional Arabic" w:hAnsi="Traditional Arabic" w:cs="Simplified Arabic" w:hint="cs"/>
          <w:color w:val="000000"/>
          <w:sz w:val="28"/>
          <w:szCs w:val="28"/>
          <w:rtl/>
          <w:lang w:bidi="fa-IR"/>
        </w:rPr>
        <w:t xml:space="preserve"> </w:t>
      </w:r>
      <w:r w:rsidRPr="00C34FBE">
        <w:rPr>
          <w:rFonts w:ascii="Traditional Arabic" w:hAnsi="Traditional Arabic" w:cs="Simplified Arabic" w:hint="cs"/>
          <w:color w:val="000000"/>
          <w:sz w:val="28"/>
          <w:szCs w:val="28"/>
          <w:rtl/>
          <w:lang w:bidi="fa-IR"/>
        </w:rPr>
        <w:t xml:space="preserve">مرآة العقول في شرح أخبار آل </w:t>
      </w:r>
      <w:proofErr w:type="gramStart"/>
      <w:r w:rsidRPr="00C34FBE">
        <w:rPr>
          <w:rFonts w:ascii="Traditional Arabic" w:hAnsi="Traditional Arabic" w:cs="Simplified Arabic" w:hint="cs"/>
          <w:sz w:val="28"/>
          <w:szCs w:val="28"/>
          <w:rtl/>
          <w:lang w:bidi="fa-IR"/>
        </w:rPr>
        <w:t>الرسول‏</w:t>
      </w:r>
      <w:r w:rsidRPr="00C34FBE">
        <w:rPr>
          <w:rFonts w:ascii="Cambria Math" w:hAnsi="Cambria Math" w:cs="Simplified Arabic" w:hint="cs"/>
          <w:color w:val="000000"/>
          <w:sz w:val="28"/>
          <w:szCs w:val="28"/>
          <w:rtl/>
        </w:rPr>
        <w:t xml:space="preserve"> </w:t>
      </w:r>
      <w:r w:rsidRPr="00C34FBE">
        <w:rPr>
          <w:rFonts w:ascii="Cambria Math" w:hAnsi="Cambria Math" w:cs="Simplified Arabic"/>
          <w:color w:val="000000"/>
          <w:sz w:val="28"/>
          <w:szCs w:val="28"/>
          <w:rtl/>
        </w:rPr>
        <w:sym w:font="V_Symbols" w:char="F036"/>
      </w:r>
      <w:r w:rsidRPr="00C34FBE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gramEnd"/>
      <w:r>
        <w:rPr>
          <w:rFonts w:cs="Simplified Arabic" w:hint="cs"/>
          <w:sz w:val="28"/>
          <w:szCs w:val="28"/>
          <w:rtl/>
        </w:rPr>
        <w:t xml:space="preserve"> 12/ 478،</w:t>
      </w:r>
      <w:r w:rsidRPr="004D64E8">
        <w:rPr>
          <w:rFonts w:cs="Simplified Arabic" w:hint="cs"/>
          <w:sz w:val="28"/>
          <w:szCs w:val="28"/>
          <w:rtl/>
        </w:rPr>
        <w:t xml:space="preserve"> </w:t>
      </w:r>
      <w:r w:rsidRPr="00491A30">
        <w:rPr>
          <w:rFonts w:cs="Simplified Arabic" w:hint="cs"/>
          <w:sz w:val="28"/>
          <w:szCs w:val="28"/>
          <w:rtl/>
        </w:rPr>
        <w:t>كتاب فضل القرآن</w:t>
      </w:r>
      <w:r>
        <w:rPr>
          <w:rFonts w:cs="Simplified Arabic" w:hint="cs"/>
          <w:sz w:val="28"/>
          <w:szCs w:val="28"/>
          <w:rtl/>
        </w:rPr>
        <w:t>، باب فضل قراءة القرآن، رقم(2).</w:t>
      </w:r>
    </w:p>
  </w:footnote>
  <w:footnote w:id="3">
    <w:p w:rsidR="000C2C1D" w:rsidRPr="00491A30" w:rsidRDefault="000C2C1D" w:rsidP="000C2C1D">
      <w:pPr>
        <w:pStyle w:val="a3"/>
        <w:tabs>
          <w:tab w:val="left" w:pos="206"/>
        </w:tabs>
        <w:ind w:left="566" w:hanging="540"/>
        <w:jc w:val="lowKashida"/>
        <w:rPr>
          <w:rFonts w:cs="Simplified Arabic" w:hint="cs"/>
          <w:sz w:val="28"/>
          <w:szCs w:val="28"/>
        </w:rPr>
      </w:pPr>
      <w:r w:rsidRPr="00491A30">
        <w:rPr>
          <w:rStyle w:val="a4"/>
          <w:rFonts w:cs="Simplified Arabic"/>
          <w:sz w:val="28"/>
          <w:szCs w:val="28"/>
          <w:rtl/>
        </w:rPr>
        <w:t>(</w:t>
      </w:r>
      <w:r w:rsidRPr="00491A30">
        <w:rPr>
          <w:rStyle w:val="a4"/>
          <w:rFonts w:cs="Simplified Arabic"/>
          <w:sz w:val="28"/>
          <w:szCs w:val="28"/>
          <w:rtl/>
        </w:rPr>
        <w:footnoteRef/>
      </w:r>
      <w:r w:rsidRPr="00491A30">
        <w:rPr>
          <w:rStyle w:val="a4"/>
          <w:rFonts w:cs="Simplified Arabic"/>
          <w:sz w:val="28"/>
          <w:szCs w:val="28"/>
          <w:rtl/>
        </w:rPr>
        <w:t>)</w:t>
      </w:r>
      <w:r w:rsidRPr="00491A30">
        <w:rPr>
          <w:rFonts w:cs="Simplified Arabic"/>
          <w:sz w:val="28"/>
          <w:szCs w:val="28"/>
          <w:rtl/>
        </w:rPr>
        <w:t xml:space="preserve"> </w:t>
      </w:r>
      <w:r w:rsidRPr="00491A30">
        <w:rPr>
          <w:rFonts w:cs="Simplified Arabic" w:hint="cs"/>
          <w:sz w:val="28"/>
          <w:szCs w:val="28"/>
          <w:rtl/>
        </w:rPr>
        <w:t xml:space="preserve">  </w:t>
      </w:r>
      <w:proofErr w:type="gramStart"/>
      <w:r w:rsidRPr="00491A30">
        <w:rPr>
          <w:rFonts w:cs="Simplified Arabic" w:hint="cs"/>
          <w:sz w:val="28"/>
          <w:szCs w:val="28"/>
          <w:rtl/>
        </w:rPr>
        <w:t>نهج</w:t>
      </w:r>
      <w:proofErr w:type="gramEnd"/>
      <w:r w:rsidRPr="00491A30">
        <w:rPr>
          <w:rFonts w:cs="Simplified Arabic" w:hint="cs"/>
          <w:sz w:val="28"/>
          <w:szCs w:val="28"/>
          <w:rtl/>
        </w:rPr>
        <w:t xml:space="preserve"> البلاغة: 377و378 (خطبة رقم 198).</w:t>
      </w:r>
    </w:p>
  </w:footnote>
  <w:footnote w:id="4">
    <w:p w:rsidR="000C2C1D" w:rsidRPr="00491A30" w:rsidRDefault="000C2C1D" w:rsidP="000C2C1D">
      <w:pPr>
        <w:pStyle w:val="a3"/>
        <w:tabs>
          <w:tab w:val="left" w:pos="206"/>
        </w:tabs>
        <w:ind w:left="566" w:hanging="540"/>
        <w:jc w:val="lowKashida"/>
        <w:rPr>
          <w:rFonts w:cs="Simplified Arabic" w:hint="cs"/>
          <w:sz w:val="28"/>
          <w:szCs w:val="28"/>
        </w:rPr>
      </w:pPr>
      <w:r w:rsidRPr="00491A30">
        <w:rPr>
          <w:rStyle w:val="a4"/>
          <w:rFonts w:cs="Simplified Arabic"/>
          <w:sz w:val="28"/>
          <w:szCs w:val="28"/>
          <w:rtl/>
        </w:rPr>
        <w:t>(</w:t>
      </w:r>
      <w:r w:rsidRPr="00491A30">
        <w:rPr>
          <w:rStyle w:val="a4"/>
          <w:rFonts w:cs="Simplified Arabic"/>
          <w:sz w:val="28"/>
          <w:szCs w:val="28"/>
          <w:rtl/>
        </w:rPr>
        <w:footnoteRef/>
      </w:r>
      <w:r w:rsidRPr="00491A30">
        <w:rPr>
          <w:rStyle w:val="a4"/>
          <w:rFonts w:cs="Simplified Arabic"/>
          <w:sz w:val="28"/>
          <w:szCs w:val="28"/>
          <w:rtl/>
        </w:rPr>
        <w:t>)</w:t>
      </w:r>
      <w:r w:rsidRPr="00491A30">
        <w:rPr>
          <w:rFonts w:cs="Simplified Arabic"/>
          <w:sz w:val="28"/>
          <w:szCs w:val="28"/>
          <w:rtl/>
        </w:rPr>
        <w:t xml:space="preserve"> </w:t>
      </w:r>
      <w:r w:rsidRPr="00491A30">
        <w:rPr>
          <w:rFonts w:cs="Simplified Arabic" w:hint="cs"/>
          <w:sz w:val="28"/>
          <w:szCs w:val="28"/>
          <w:rtl/>
        </w:rPr>
        <w:t xml:space="preserve">  </w:t>
      </w:r>
      <w:proofErr w:type="gramStart"/>
      <w:r w:rsidRPr="00491A30">
        <w:rPr>
          <w:rFonts w:cs="Simplified Arabic" w:hint="cs"/>
          <w:sz w:val="28"/>
          <w:szCs w:val="28"/>
          <w:rtl/>
        </w:rPr>
        <w:t>مجمع</w:t>
      </w:r>
      <w:proofErr w:type="gramEnd"/>
      <w:r w:rsidRPr="00491A30">
        <w:rPr>
          <w:rFonts w:cs="Simplified Arabic" w:hint="cs"/>
          <w:sz w:val="28"/>
          <w:szCs w:val="28"/>
          <w:rtl/>
        </w:rPr>
        <w:t xml:space="preserve"> البيان</w:t>
      </w:r>
      <w:r w:rsidRPr="00187891">
        <w:rPr>
          <w:rFonts w:cs="Simplified Arabic" w:hint="cs"/>
          <w:sz w:val="32"/>
          <w:szCs w:val="32"/>
          <w:rtl/>
        </w:rPr>
        <w:t xml:space="preserve"> </w:t>
      </w:r>
      <w:r w:rsidRPr="009C6113">
        <w:rPr>
          <w:rFonts w:cs="Simplified Arabic" w:hint="cs"/>
          <w:sz w:val="32"/>
          <w:szCs w:val="32"/>
          <w:rtl/>
        </w:rPr>
        <w:t>لعلوم الق</w:t>
      </w:r>
      <w:r>
        <w:rPr>
          <w:rFonts w:cs="Simplified Arabic" w:hint="cs"/>
          <w:sz w:val="32"/>
          <w:szCs w:val="32"/>
          <w:rtl/>
        </w:rPr>
        <w:t>ــ</w:t>
      </w:r>
      <w:r w:rsidRPr="009C6113">
        <w:rPr>
          <w:rFonts w:cs="Simplified Arabic" w:hint="cs"/>
          <w:sz w:val="32"/>
          <w:szCs w:val="32"/>
          <w:rtl/>
        </w:rPr>
        <w:t>رآن</w:t>
      </w:r>
      <w:r w:rsidRPr="00491A30">
        <w:rPr>
          <w:rFonts w:cs="Simplified Arabic" w:hint="cs"/>
          <w:sz w:val="28"/>
          <w:szCs w:val="28"/>
          <w:rtl/>
        </w:rPr>
        <w:t>: 5/387.</w:t>
      </w:r>
    </w:p>
  </w:footnote>
  <w:footnote w:id="5">
    <w:p w:rsidR="000C2C1D" w:rsidRPr="002B6466" w:rsidRDefault="000C2C1D" w:rsidP="000C2C1D">
      <w:pPr>
        <w:pStyle w:val="a3"/>
        <w:tabs>
          <w:tab w:val="left" w:pos="206"/>
        </w:tabs>
        <w:ind w:left="566" w:hanging="540"/>
        <w:jc w:val="lowKashida"/>
        <w:rPr>
          <w:rFonts w:cs="Simplified Arabic" w:hint="cs"/>
          <w:sz w:val="28"/>
          <w:szCs w:val="28"/>
          <w:rtl/>
        </w:rPr>
      </w:pPr>
      <w:r w:rsidRPr="002B6466">
        <w:rPr>
          <w:rStyle w:val="a4"/>
          <w:rFonts w:cs="Simplified Arabic"/>
          <w:sz w:val="28"/>
          <w:szCs w:val="28"/>
          <w:rtl/>
        </w:rPr>
        <w:t>(</w:t>
      </w:r>
      <w:r w:rsidRPr="002B6466">
        <w:rPr>
          <w:rStyle w:val="a4"/>
          <w:rFonts w:cs="Simplified Arabic"/>
          <w:sz w:val="28"/>
          <w:szCs w:val="28"/>
          <w:rtl/>
        </w:rPr>
        <w:footnoteRef/>
      </w:r>
      <w:r w:rsidRPr="002B6466">
        <w:rPr>
          <w:rStyle w:val="a4"/>
          <w:rFonts w:cs="Simplified Arabic"/>
          <w:sz w:val="28"/>
          <w:szCs w:val="28"/>
          <w:rtl/>
        </w:rPr>
        <w:t>)</w:t>
      </w:r>
      <w:r w:rsidRPr="002B6466">
        <w:rPr>
          <w:rFonts w:cs="Simplified Arabic"/>
          <w:sz w:val="28"/>
          <w:szCs w:val="28"/>
          <w:rtl/>
        </w:rPr>
        <w:t xml:space="preserve"> </w:t>
      </w:r>
      <w:r w:rsidRPr="002B6466">
        <w:rPr>
          <w:rFonts w:cs="Simplified Arabic" w:hint="cs"/>
          <w:sz w:val="28"/>
          <w:szCs w:val="28"/>
          <w:rtl/>
        </w:rPr>
        <w:t xml:space="preserve">  البرهان في تفسير القرآن: 1/28.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6"/>
    <w:rsid w:val="000C2C1D"/>
    <w:rsid w:val="001E07DF"/>
    <w:rsid w:val="003F2EF4"/>
    <w:rsid w:val="00C019B8"/>
    <w:rsid w:val="00E2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C2C1D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0C2C1D"/>
    <w:rPr>
      <w:rFonts w:ascii="Times New Roman" w:eastAsia="Times New Roman" w:hAnsi="Times New Roman" w:cs="Times New Roman"/>
      <w:sz w:val="20"/>
      <w:szCs w:val="20"/>
      <w:lang w:bidi="ar-IQ"/>
    </w:rPr>
  </w:style>
  <w:style w:type="character" w:styleId="a4">
    <w:name w:val="footnote reference"/>
    <w:semiHidden/>
    <w:rsid w:val="000C2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C2C1D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0C2C1D"/>
    <w:rPr>
      <w:rFonts w:ascii="Times New Roman" w:eastAsia="Times New Roman" w:hAnsi="Times New Roman" w:cs="Times New Roman"/>
      <w:sz w:val="20"/>
      <w:szCs w:val="20"/>
      <w:lang w:bidi="ar-IQ"/>
    </w:rPr>
  </w:style>
  <w:style w:type="character" w:styleId="a4">
    <w:name w:val="footnote reference"/>
    <w:semiHidden/>
    <w:rsid w:val="000C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2022-02-05T21:59:00Z</dcterms:created>
  <dcterms:modified xsi:type="dcterms:W3CDTF">2022-02-05T21:59:00Z</dcterms:modified>
</cp:coreProperties>
</file>