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B21D80" w:rsidRPr="00B21D80" w:rsidRDefault="00B21D80" w:rsidP="00B21D80">
      <w:pPr>
        <w:ind w:firstLine="26"/>
        <w:jc w:val="center"/>
        <w:rPr>
          <w:rFonts w:cs="Simplified Arabic" w:hint="cs"/>
          <w:b/>
          <w:bCs/>
          <w:color w:val="000000" w:themeColor="text1"/>
          <w:spacing w:val="10"/>
          <w:sz w:val="52"/>
          <w:szCs w:val="52"/>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bookmarkStart w:id="0" w:name="_GoBack"/>
      <w:r w:rsidRPr="00B21D80">
        <w:rPr>
          <w:rFonts w:cs="Simplified Arabic" w:hint="cs"/>
          <w:b/>
          <w:bCs/>
          <w:color w:val="000000" w:themeColor="text1"/>
          <w:spacing w:val="10"/>
          <w:sz w:val="52"/>
          <w:szCs w:val="52"/>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هياكل المعرفة </w:t>
      </w:r>
      <w:proofErr w:type="spellStart"/>
      <w:r w:rsidRPr="00B21D80">
        <w:rPr>
          <w:rFonts w:cs="Simplified Arabic" w:hint="cs"/>
          <w:b/>
          <w:bCs/>
          <w:color w:val="000000" w:themeColor="text1"/>
          <w:spacing w:val="10"/>
          <w:sz w:val="52"/>
          <w:szCs w:val="52"/>
          <w:rtl/>
          <w:lang w:bidi="ar-IQ"/>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الإستراتيجية</w:t>
      </w:r>
      <w:proofErr w:type="spellEnd"/>
    </w:p>
    <w:bookmarkEnd w:id="0"/>
    <w:p w:rsidR="00B21D80" w:rsidRDefault="00B21D80" w:rsidP="00B21D80">
      <w:pPr>
        <w:ind w:firstLine="26"/>
        <w:jc w:val="lowKashida"/>
        <w:rPr>
          <w:rFonts w:cs="Simplified Arabic" w:hint="cs"/>
          <w:b/>
          <w:bCs/>
          <w:sz w:val="28"/>
          <w:szCs w:val="28"/>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B21D80" w:rsidRDefault="00B21D80" w:rsidP="00B21D80">
      <w:pPr>
        <w:ind w:firstLine="26"/>
        <w:jc w:val="lowKashida"/>
        <w:rPr>
          <w:rFonts w:cs="Simplified Arabic" w:hint="cs"/>
          <w:sz w:val="28"/>
          <w:szCs w:val="28"/>
          <w:rtl/>
          <w:lang w:bidi="ar-IQ"/>
        </w:rPr>
      </w:pPr>
      <w:r>
        <w:rPr>
          <w:rFonts w:cs="Simplified Arabic" w:hint="cs"/>
          <w:sz w:val="28"/>
          <w:szCs w:val="28"/>
          <w:rtl/>
          <w:lang w:bidi="ar-IQ"/>
        </w:rPr>
        <w:tab/>
        <w:t>تُعد الهياكل الحدود التي يتم على أساسها تحديد المواقع التي تتوحد فيها المعرفة، فضلاً عن أنها الدستور الذي يوضح حجمها وفقاً لكل موقع من مواقع المستويات التنظيمية وعلاقاتها بالمعارف الأخرى للمنظمة.</w:t>
      </w:r>
    </w:p>
    <w:p w:rsidR="00B21D80" w:rsidRDefault="00B21D80" w:rsidP="00B21D80">
      <w:pPr>
        <w:ind w:firstLine="26"/>
        <w:jc w:val="lowKashida"/>
        <w:rPr>
          <w:rFonts w:cs="Simplified Arabic" w:hint="cs"/>
          <w:sz w:val="28"/>
          <w:szCs w:val="28"/>
          <w:rtl/>
          <w:lang w:bidi="ar-IQ"/>
        </w:rPr>
      </w:pPr>
      <w:r>
        <w:rPr>
          <w:rFonts w:cs="Simplified Arabic" w:hint="cs"/>
          <w:sz w:val="28"/>
          <w:szCs w:val="28"/>
          <w:rtl/>
          <w:lang w:bidi="ar-IQ"/>
        </w:rPr>
        <w:tab/>
        <w:t>وقدر تعلق الأمر بالمعرفة فأنها تُعد استراتيجية عندما تختص بالنواحي الآتية:</w:t>
      </w:r>
    </w:p>
    <w:p w:rsidR="00B21D80" w:rsidRDefault="00B21D80" w:rsidP="00B21D80">
      <w:pPr>
        <w:numPr>
          <w:ilvl w:val="0"/>
          <w:numId w:val="1"/>
        </w:numPr>
        <w:tabs>
          <w:tab w:val="num" w:pos="566"/>
        </w:tabs>
        <w:jc w:val="lowKashida"/>
        <w:rPr>
          <w:rFonts w:cs="Simplified Arabic" w:hint="cs"/>
          <w:sz w:val="28"/>
          <w:szCs w:val="28"/>
          <w:rtl/>
          <w:lang w:bidi="ar-IQ"/>
        </w:rPr>
      </w:pPr>
      <w:r>
        <w:rPr>
          <w:rFonts w:cs="Simplified Arabic" w:hint="cs"/>
          <w:b/>
          <w:bCs/>
          <w:sz w:val="28"/>
          <w:szCs w:val="28"/>
          <w:rtl/>
          <w:lang w:bidi="ar-IQ"/>
        </w:rPr>
        <w:t>المنافسون</w:t>
      </w:r>
      <w:r>
        <w:rPr>
          <w:rFonts w:cs="Simplified Arabic" w:hint="cs"/>
          <w:sz w:val="28"/>
          <w:szCs w:val="28"/>
          <w:rtl/>
          <w:lang w:bidi="ar-IQ"/>
        </w:rPr>
        <w:t xml:space="preserve"> ،من المنظمات التي تعمل في مجال اختصاص المنظمة.</w:t>
      </w:r>
    </w:p>
    <w:p w:rsidR="00B21D80" w:rsidRDefault="00B21D80" w:rsidP="00B21D80">
      <w:pPr>
        <w:numPr>
          <w:ilvl w:val="0"/>
          <w:numId w:val="1"/>
        </w:numPr>
        <w:tabs>
          <w:tab w:val="num" w:pos="566"/>
        </w:tabs>
        <w:jc w:val="lowKashida"/>
        <w:rPr>
          <w:rFonts w:cs="Simplified Arabic"/>
          <w:sz w:val="28"/>
          <w:szCs w:val="28"/>
          <w:lang w:bidi="ar-IQ"/>
        </w:rPr>
      </w:pPr>
      <w:r>
        <w:rPr>
          <w:rFonts w:cs="Simplified Arabic" w:hint="cs"/>
          <w:b/>
          <w:bCs/>
          <w:sz w:val="28"/>
          <w:szCs w:val="28"/>
          <w:rtl/>
          <w:lang w:bidi="ar-IQ"/>
        </w:rPr>
        <w:t xml:space="preserve">البيئة العالمية ، </w:t>
      </w:r>
      <w:r>
        <w:rPr>
          <w:rFonts w:cs="Simplified Arabic" w:hint="cs"/>
          <w:sz w:val="28"/>
          <w:szCs w:val="28"/>
          <w:rtl/>
          <w:lang w:bidi="ar-IQ"/>
        </w:rPr>
        <w:t>بكافة جوانبها الاقتصادية والاجتماعية والسياسية ونحو ذلك، من العوامل ذات الأهمية في حياة المنظمة.</w:t>
      </w:r>
      <w:r>
        <w:rPr>
          <w:rFonts w:cs="Simplified Arabic" w:hint="cs"/>
          <w:b/>
          <w:bCs/>
          <w:sz w:val="28"/>
          <w:szCs w:val="28"/>
          <w:rtl/>
          <w:lang w:bidi="ar-IQ"/>
        </w:rPr>
        <w:t xml:space="preserve"> </w:t>
      </w:r>
    </w:p>
    <w:p w:rsidR="00B21D80" w:rsidRDefault="00B21D80" w:rsidP="00B21D80">
      <w:pPr>
        <w:numPr>
          <w:ilvl w:val="0"/>
          <w:numId w:val="1"/>
        </w:numPr>
        <w:tabs>
          <w:tab w:val="num" w:pos="566"/>
        </w:tabs>
        <w:jc w:val="lowKashida"/>
        <w:rPr>
          <w:rFonts w:cs="Simplified Arabic"/>
          <w:sz w:val="28"/>
          <w:szCs w:val="28"/>
          <w:lang w:bidi="ar-IQ"/>
        </w:rPr>
      </w:pPr>
      <w:r>
        <w:rPr>
          <w:rFonts w:cs="Simplified Arabic" w:hint="cs"/>
          <w:b/>
          <w:bCs/>
          <w:sz w:val="28"/>
          <w:szCs w:val="28"/>
          <w:rtl/>
          <w:lang w:bidi="ar-IQ"/>
        </w:rPr>
        <w:t xml:space="preserve">مستويات المنظمة ، </w:t>
      </w:r>
      <w:r>
        <w:rPr>
          <w:rFonts w:cs="Simplified Arabic" w:hint="cs"/>
          <w:sz w:val="28"/>
          <w:szCs w:val="28"/>
          <w:rtl/>
          <w:lang w:bidi="ar-IQ"/>
        </w:rPr>
        <w:t xml:space="preserve">المختلفة بدءاً من  الإدارة العليا أو ما يعرف بالقمة </w:t>
      </w:r>
      <w:proofErr w:type="spellStart"/>
      <w:r>
        <w:rPr>
          <w:rFonts w:cs="Simplified Arabic" w:hint="cs"/>
          <w:sz w:val="28"/>
          <w:szCs w:val="28"/>
          <w:rtl/>
          <w:lang w:bidi="ar-IQ"/>
        </w:rPr>
        <w:t>الإستراتيجية</w:t>
      </w:r>
      <w:proofErr w:type="spellEnd"/>
      <w:r>
        <w:rPr>
          <w:rFonts w:cs="Simplified Arabic" w:hint="cs"/>
          <w:sz w:val="28"/>
          <w:szCs w:val="28"/>
          <w:rtl/>
          <w:lang w:bidi="ar-IQ"/>
        </w:rPr>
        <w:t>(</w:t>
      </w:r>
      <w:r>
        <w:rPr>
          <w:rFonts w:cs="Simplified Arabic"/>
          <w:sz w:val="28"/>
          <w:szCs w:val="28"/>
          <w:lang w:bidi="ar-IQ"/>
        </w:rPr>
        <w:t>Strategic Apex</w:t>
      </w:r>
      <w:r>
        <w:rPr>
          <w:rFonts w:cs="Simplified Arabic" w:hint="cs"/>
          <w:sz w:val="28"/>
          <w:szCs w:val="28"/>
          <w:rtl/>
          <w:lang w:bidi="ar-IQ"/>
        </w:rPr>
        <w:t xml:space="preserve">)، مروراً بالإدارات الوسطى ، </w:t>
      </w:r>
      <w:proofErr w:type="spellStart"/>
      <w:r>
        <w:rPr>
          <w:rFonts w:cs="Simplified Arabic" w:hint="cs"/>
          <w:sz w:val="28"/>
          <w:szCs w:val="28"/>
          <w:rtl/>
          <w:lang w:bidi="ar-IQ"/>
        </w:rPr>
        <w:t>وانتهاءاً</w:t>
      </w:r>
      <w:proofErr w:type="spellEnd"/>
      <w:r>
        <w:rPr>
          <w:rFonts w:cs="Simplified Arabic" w:hint="cs"/>
          <w:sz w:val="28"/>
          <w:szCs w:val="28"/>
          <w:rtl/>
          <w:lang w:bidi="ar-IQ"/>
        </w:rPr>
        <w:t xml:space="preserve"> بالإدارات الدنيا فيها..</w:t>
      </w:r>
    </w:p>
    <w:p w:rsidR="00B21D80" w:rsidRDefault="00B21D80" w:rsidP="00B21D80">
      <w:pPr>
        <w:numPr>
          <w:ilvl w:val="0"/>
          <w:numId w:val="1"/>
        </w:numPr>
        <w:tabs>
          <w:tab w:val="num" w:pos="566"/>
        </w:tabs>
        <w:jc w:val="lowKashida"/>
        <w:rPr>
          <w:rFonts w:cs="Simplified Arabic"/>
          <w:sz w:val="28"/>
          <w:szCs w:val="28"/>
          <w:lang w:bidi="ar-IQ"/>
        </w:rPr>
      </w:pPr>
      <w:r>
        <w:rPr>
          <w:rFonts w:cs="Simplified Arabic" w:hint="cs"/>
          <w:b/>
          <w:bCs/>
          <w:sz w:val="28"/>
          <w:szCs w:val="28"/>
          <w:rtl/>
          <w:lang w:bidi="ar-IQ"/>
        </w:rPr>
        <w:t xml:space="preserve"> رأس المال البشري، </w:t>
      </w:r>
      <w:r>
        <w:rPr>
          <w:rFonts w:cs="Simplified Arabic" w:hint="cs"/>
          <w:sz w:val="28"/>
          <w:szCs w:val="28"/>
          <w:rtl/>
          <w:lang w:bidi="ar-IQ"/>
        </w:rPr>
        <w:t xml:space="preserve">بوصفه مورداً </w:t>
      </w:r>
      <w:proofErr w:type="spellStart"/>
      <w:r>
        <w:rPr>
          <w:rFonts w:cs="Simplified Arabic" w:hint="cs"/>
          <w:sz w:val="28"/>
          <w:szCs w:val="28"/>
          <w:rtl/>
          <w:lang w:bidi="ar-IQ"/>
        </w:rPr>
        <w:t>إستراتيجيا</w:t>
      </w:r>
      <w:proofErr w:type="spellEnd"/>
      <w:r>
        <w:rPr>
          <w:rFonts w:cs="Simplified Arabic" w:hint="cs"/>
          <w:sz w:val="28"/>
          <w:szCs w:val="28"/>
          <w:rtl/>
          <w:lang w:bidi="ar-IQ"/>
        </w:rPr>
        <w:t xml:space="preserve"> لا يقل أهمية عن الموارد الأخرى  كرأس المال والأرض .</w:t>
      </w:r>
    </w:p>
    <w:p w:rsidR="00B21D80" w:rsidRDefault="00B21D80" w:rsidP="00B21D80">
      <w:pPr>
        <w:jc w:val="lowKashida"/>
        <w:rPr>
          <w:rFonts w:cs="Simplified Arabic"/>
          <w:b/>
          <w:bCs/>
          <w:sz w:val="32"/>
          <w:szCs w:val="32"/>
          <w:lang w:bidi="ar-IQ"/>
        </w:rPr>
      </w:pPr>
      <w:r>
        <w:rPr>
          <w:rFonts w:cs="Simplified Arabic" w:hint="cs"/>
          <w:b/>
          <w:bCs/>
          <w:sz w:val="32"/>
          <w:szCs w:val="32"/>
          <w:rtl/>
          <w:lang w:bidi="ar-IQ"/>
        </w:rPr>
        <w:t>3.عمليات ادارة المعرفة الاستراتيجية وأدواتها</w:t>
      </w:r>
    </w:p>
    <w:p w:rsidR="00B21D80" w:rsidRDefault="00B21D80" w:rsidP="00B21D80">
      <w:pPr>
        <w:jc w:val="lowKashida"/>
        <w:rPr>
          <w:rFonts w:cs="Simplified Arabic" w:hint="cs"/>
          <w:sz w:val="28"/>
          <w:szCs w:val="28"/>
          <w:rtl/>
          <w:lang w:bidi="ar-IQ"/>
        </w:rPr>
      </w:pPr>
      <w:r>
        <w:rPr>
          <w:rFonts w:cs="Simplified Arabic" w:hint="cs"/>
          <w:b/>
          <w:bCs/>
          <w:sz w:val="32"/>
          <w:szCs w:val="32"/>
          <w:rtl/>
          <w:lang w:bidi="ar-IQ"/>
        </w:rPr>
        <w:tab/>
      </w:r>
      <w:r>
        <w:rPr>
          <w:rFonts w:cs="Simplified Arabic" w:hint="cs"/>
          <w:sz w:val="28"/>
          <w:szCs w:val="28"/>
          <w:rtl/>
          <w:lang w:bidi="ar-IQ"/>
        </w:rPr>
        <w:t xml:space="preserve"> يذهب بعض الكتاب ومنهم(</w:t>
      </w:r>
      <w:proofErr w:type="spellStart"/>
      <w:r>
        <w:rPr>
          <w:rFonts w:cs="Simplified Arabic"/>
          <w:sz w:val="28"/>
          <w:szCs w:val="28"/>
          <w:lang w:bidi="ar-IQ"/>
        </w:rPr>
        <w:t>Prusak</w:t>
      </w:r>
      <w:proofErr w:type="spellEnd"/>
      <w:r>
        <w:rPr>
          <w:rFonts w:cs="Simplified Arabic"/>
          <w:sz w:val="28"/>
          <w:szCs w:val="28"/>
          <w:lang w:bidi="ar-IQ"/>
        </w:rPr>
        <w:t>, S.D ,4</w:t>
      </w:r>
      <w:r>
        <w:rPr>
          <w:rFonts w:cs="Simplified Arabic" w:hint="cs"/>
          <w:sz w:val="28"/>
          <w:szCs w:val="28"/>
          <w:rtl/>
          <w:lang w:bidi="ar-IQ"/>
        </w:rPr>
        <w:t>) إلى الاعتقاد بخصوص المعرفة الاستراتيجية ، بوصفها المعرفة المتأتية من معطيات التحليل الاستراتيجي، والتي تعنى بتوفير المعلومات عن نقاط قوة وضعف المنظمة، وما يخص الفرص والتهديدات التي تواجهها أيضاً.</w:t>
      </w:r>
    </w:p>
    <w:p w:rsidR="00B21D80" w:rsidRDefault="00B21D80" w:rsidP="00B21D80">
      <w:pPr>
        <w:jc w:val="lowKashida"/>
        <w:rPr>
          <w:rFonts w:cs="Simplified Arabic" w:hint="cs"/>
          <w:sz w:val="28"/>
          <w:szCs w:val="28"/>
          <w:rtl/>
          <w:lang w:bidi="ar-IQ"/>
        </w:rPr>
      </w:pPr>
      <w:r>
        <w:rPr>
          <w:rFonts w:cs="Simplified Arabic" w:hint="cs"/>
          <w:sz w:val="28"/>
          <w:szCs w:val="28"/>
          <w:rtl/>
          <w:lang w:bidi="ar-IQ"/>
        </w:rPr>
        <w:tab/>
        <w:t xml:space="preserve">ومع إقرار الباحثون بأهمية هذا الرأي، لاسيما في جانبه المتعلق بتوفير المعلومات عن النواحي المشار إليها، بدليل إشارتهم لذلك في مفهومهم الإجرائي أيضا ، كما سبقت الإشارة، إلا أنهم يجدون في الجانب الذي أشار إلى هذه المعرفة بوصفها المتأتية من معطيات التحليل الاستراتيجي، انه بحاجة إلى مزيد من التفصيل للتمييز بين نتائج التحليل الاستراتيجي، الذي أنجز في المرحلة أو المدة( شهر، فصل، سنة) السابقة، بوصفه تحليل تقويمي ، يفترض أن وفر خزينا معرفياً ، على نحو يمكن أن يستفاد منه لاحقا، وبين التحليل </w:t>
      </w:r>
      <w:proofErr w:type="spellStart"/>
      <w:r>
        <w:rPr>
          <w:rFonts w:cs="Simplified Arabic" w:hint="cs"/>
          <w:sz w:val="28"/>
          <w:szCs w:val="28"/>
          <w:rtl/>
          <w:lang w:bidi="ar-IQ"/>
        </w:rPr>
        <w:t>الإستراتيج</w:t>
      </w:r>
      <w:r>
        <w:rPr>
          <w:rFonts w:cs="Simplified Arabic" w:hint="eastAsia"/>
          <w:sz w:val="28"/>
          <w:szCs w:val="28"/>
          <w:rtl/>
          <w:lang w:bidi="ar-IQ"/>
        </w:rPr>
        <w:t>ي</w:t>
      </w:r>
      <w:proofErr w:type="spellEnd"/>
      <w:r>
        <w:rPr>
          <w:rFonts w:cs="Simplified Arabic" w:hint="cs"/>
          <w:sz w:val="28"/>
          <w:szCs w:val="28"/>
          <w:rtl/>
          <w:lang w:bidi="ar-IQ"/>
        </w:rPr>
        <w:t xml:space="preserve"> لأغراض </w:t>
      </w:r>
      <w:proofErr w:type="spellStart"/>
      <w:r>
        <w:rPr>
          <w:rFonts w:cs="Simplified Arabic" w:hint="cs"/>
          <w:sz w:val="28"/>
          <w:szCs w:val="28"/>
          <w:rtl/>
          <w:lang w:bidi="ar-IQ"/>
        </w:rPr>
        <w:t>التنبوء</w:t>
      </w:r>
      <w:proofErr w:type="spellEnd"/>
      <w:r>
        <w:rPr>
          <w:rFonts w:cs="Simplified Arabic" w:hint="cs"/>
          <w:sz w:val="28"/>
          <w:szCs w:val="28"/>
          <w:rtl/>
          <w:lang w:bidi="ar-IQ"/>
        </w:rPr>
        <w:t xml:space="preserve"> بالمستقبل، الذي يراد منه خلق المعرفة الجديدة ، بما يضمن أفضل استثمار ممكن لموارد المنظمة تحقيقاً لأهدافها.</w:t>
      </w:r>
    </w:p>
    <w:p w:rsidR="00B21D80" w:rsidRDefault="00B21D80" w:rsidP="00B21D80">
      <w:pPr>
        <w:jc w:val="lowKashida"/>
        <w:rPr>
          <w:rFonts w:cs="Simplified Arabic" w:hint="cs"/>
          <w:sz w:val="28"/>
          <w:szCs w:val="28"/>
          <w:rtl/>
          <w:lang w:bidi="ar-IQ"/>
        </w:rPr>
      </w:pPr>
      <w:r>
        <w:rPr>
          <w:rFonts w:cs="Simplified Arabic" w:hint="cs"/>
          <w:sz w:val="28"/>
          <w:szCs w:val="28"/>
          <w:rtl/>
          <w:lang w:bidi="ar-IQ"/>
        </w:rPr>
        <w:lastRenderedPageBreak/>
        <w:tab/>
        <w:t>اعتماداً على ذلك تبدو المعرفة الاستراتيجية من منظور المعطيات المتأتية من التحليل الاستراتيجي للمرات السابقة ، بوصفها من ثمار إنجازات المنظمة في مجال إدارة المعرفة عن طريق خلقها وتطويرها ونشرها وتبنيها تحقيقًا لأهدافها .</w:t>
      </w:r>
    </w:p>
    <w:p w:rsidR="00B21D80" w:rsidRDefault="00B21D80" w:rsidP="00B21D80">
      <w:pPr>
        <w:jc w:val="lowKashida"/>
        <w:rPr>
          <w:rFonts w:cs="Simplified Arabic" w:hint="cs"/>
          <w:sz w:val="28"/>
          <w:szCs w:val="28"/>
          <w:rtl/>
          <w:lang w:bidi="ar-IQ"/>
        </w:rPr>
      </w:pPr>
      <w:r>
        <w:rPr>
          <w:rFonts w:cs="Simplified Arabic" w:hint="cs"/>
          <w:sz w:val="28"/>
          <w:szCs w:val="28"/>
          <w:rtl/>
          <w:lang w:bidi="ar-IQ"/>
        </w:rPr>
        <w:t xml:space="preserve">        أما فيما يخص المعرفة الاستراتيجية الجديدة ، فيمكن عدّها كما يرى الباحثون ، بوصفها التوظيف الفاعل لخزين المنظمة المعرفي مع الإبداع الفكري للعاملين ، القائم على رؤية المستقبل واحتمالاته المختلفة ، على النحو الذي يضمن تطوير أهداف التحليل الاستراتيجي لتشمل إلى جانب التشخيص الامثل لنقاط قوة وضعف المنظمة ، وما يخص نواحي الفرص والتهديدات التي تواجهها مهمة تطوير خزينها المعرفي في كافة المجالات أيضا.</w:t>
      </w:r>
    </w:p>
    <w:p w:rsidR="00B21D80" w:rsidRDefault="00B21D80" w:rsidP="00B21D80">
      <w:pPr>
        <w:jc w:val="lowKashida"/>
        <w:rPr>
          <w:rFonts w:cs="Simplified Arabic" w:hint="cs"/>
          <w:sz w:val="28"/>
          <w:szCs w:val="28"/>
          <w:rtl/>
          <w:lang w:bidi="ar-IQ"/>
        </w:rPr>
      </w:pPr>
      <w:r>
        <w:rPr>
          <w:rFonts w:cs="Simplified Arabic" w:hint="cs"/>
          <w:sz w:val="28"/>
          <w:szCs w:val="28"/>
          <w:rtl/>
          <w:lang w:bidi="ar-IQ"/>
        </w:rPr>
        <w:t xml:space="preserve">       أما كيف تتم مهمة خلق المعرفة الاستراتيجية بالاعتماد على التحليل الاستراتيجي، فيمكن أن تتوضح اعتماداً على الشكل(3) على النحو الذي مفاده:</w:t>
      </w:r>
    </w:p>
    <w:p w:rsidR="00B21D80" w:rsidRDefault="00B21D80" w:rsidP="00B21D80">
      <w:pPr>
        <w:jc w:val="lowKashida"/>
        <w:rPr>
          <w:rFonts w:cs="Simplified Arabic" w:hint="cs"/>
          <w:sz w:val="28"/>
          <w:szCs w:val="28"/>
          <w:rtl/>
          <w:lang w:bidi="ar-IQ"/>
        </w:rPr>
      </w:pPr>
      <w:r>
        <w:rPr>
          <w:rFonts w:cs="Simplified Arabic" w:hint="cs"/>
          <w:sz w:val="28"/>
          <w:szCs w:val="28"/>
          <w:rtl/>
          <w:lang w:bidi="ar-IQ"/>
        </w:rPr>
        <w:tab/>
      </w:r>
      <w:r>
        <w:rPr>
          <w:rFonts w:cs="Simplified Arabic"/>
          <w:noProof/>
          <w:sz w:val="28"/>
          <w:szCs w:val="28"/>
        </w:rPr>
        <mc:AlternateContent>
          <mc:Choice Requires="wpc">
            <w:drawing>
              <wp:inline distT="0" distB="0" distL="0" distR="0">
                <wp:extent cx="5276850" cy="2286000"/>
                <wp:effectExtent l="64135" t="66040" r="59690" b="57785"/>
                <wp:docPr id="20" name="لوحة قماشية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57150" cap="flat" cmpd="thickThin" algn="ctr">
                          <a:solidFill>
                            <a:srgbClr val="000000"/>
                          </a:solidFill>
                          <a:prstDash val="solid"/>
                          <a:miter lim="800000"/>
                          <a:headEnd type="none" w="med" len="med"/>
                          <a:tailEnd type="none" w="med" len="med"/>
                        </a:ln>
                      </wpc:whole>
                      <wps:wsp>
                        <wps:cNvPr id="1" name="Rectangle 4"/>
                        <wps:cNvSpPr>
                          <a:spLocks noChangeArrowheads="1"/>
                        </wps:cNvSpPr>
                        <wps:spPr bwMode="auto">
                          <a:xfrm>
                            <a:off x="1724025" y="123825"/>
                            <a:ext cx="1028700" cy="342900"/>
                          </a:xfrm>
                          <a:prstGeom prst="rect">
                            <a:avLst/>
                          </a:prstGeom>
                          <a:solidFill>
                            <a:srgbClr val="FFFFFF"/>
                          </a:solidFill>
                          <a:ln w="19050">
                            <a:solidFill>
                              <a:srgbClr val="000000"/>
                            </a:solidFill>
                            <a:miter lim="800000"/>
                            <a:headEnd/>
                            <a:tailEnd/>
                          </a:ln>
                        </wps:spPr>
                        <wps:txbx>
                          <w:txbxContent>
                            <w:p w:rsidR="00B21D80" w:rsidRDefault="00B21D80" w:rsidP="00B21D80">
                              <w:pPr>
                                <w:rPr>
                                  <w:sz w:val="18"/>
                                  <w:szCs w:val="18"/>
                                  <w:lang w:bidi="ar-IQ"/>
                                </w:rPr>
                              </w:pPr>
                              <w:r>
                                <w:rPr>
                                  <w:rFonts w:hint="cs"/>
                                  <w:sz w:val="18"/>
                                  <w:szCs w:val="18"/>
                                  <w:rtl/>
                                  <w:lang w:bidi="ar-IQ"/>
                                </w:rPr>
                                <w:t xml:space="preserve">السلوك </w:t>
                              </w:r>
                              <w:proofErr w:type="spellStart"/>
                              <w:r>
                                <w:rPr>
                                  <w:rFonts w:hint="cs"/>
                                  <w:sz w:val="18"/>
                                  <w:szCs w:val="18"/>
                                  <w:rtl/>
                                  <w:lang w:bidi="ar-IQ"/>
                                </w:rPr>
                                <w:t>الإستراتيج</w:t>
                              </w:r>
                              <w:r>
                                <w:rPr>
                                  <w:rFonts w:hint="eastAsia"/>
                                  <w:sz w:val="18"/>
                                  <w:szCs w:val="18"/>
                                  <w:rtl/>
                                  <w:lang w:bidi="ar-IQ"/>
                                </w:rPr>
                                <w:t>ي</w:t>
                              </w:r>
                              <w:proofErr w:type="spellEnd"/>
                            </w:p>
                          </w:txbxContent>
                        </wps:txbx>
                        <wps:bodyPr rot="0" vert="horz" wrap="square" lIns="91440" tIns="45720" rIns="91440" bIns="45720" anchor="t" anchorCtr="0" upright="1">
                          <a:noAutofit/>
                        </wps:bodyPr>
                      </wps:wsp>
                      <wps:wsp>
                        <wps:cNvPr id="2" name="Rectangle 5"/>
                        <wps:cNvSpPr>
                          <a:spLocks noChangeArrowheads="1"/>
                        </wps:cNvSpPr>
                        <wps:spPr bwMode="auto">
                          <a:xfrm>
                            <a:off x="9525" y="1038225"/>
                            <a:ext cx="1143000" cy="342900"/>
                          </a:xfrm>
                          <a:prstGeom prst="rect">
                            <a:avLst/>
                          </a:prstGeom>
                          <a:solidFill>
                            <a:srgbClr val="FFFFFF"/>
                          </a:solidFill>
                          <a:ln w="19050">
                            <a:solidFill>
                              <a:srgbClr val="000000"/>
                            </a:solidFill>
                            <a:miter lim="800000"/>
                            <a:headEnd/>
                            <a:tailEnd/>
                          </a:ln>
                        </wps:spPr>
                        <wps:txbx>
                          <w:txbxContent>
                            <w:p w:rsidR="00B21D80" w:rsidRDefault="00B21D80" w:rsidP="00B21D80">
                              <w:pPr>
                                <w:rPr>
                                  <w:sz w:val="18"/>
                                  <w:szCs w:val="18"/>
                                  <w:lang w:bidi="ar-IQ"/>
                                </w:rPr>
                              </w:pPr>
                              <w:r>
                                <w:rPr>
                                  <w:rFonts w:hint="cs"/>
                                  <w:sz w:val="18"/>
                                  <w:szCs w:val="18"/>
                                  <w:rtl/>
                                  <w:lang w:bidi="ar-IQ"/>
                                </w:rPr>
                                <w:t>معرفة مستويات الأعمال</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495425" y="1038225"/>
                            <a:ext cx="915035" cy="342900"/>
                          </a:xfrm>
                          <a:prstGeom prst="rect">
                            <a:avLst/>
                          </a:prstGeom>
                          <a:solidFill>
                            <a:srgbClr val="FFFFFF"/>
                          </a:solidFill>
                          <a:ln w="19050">
                            <a:solidFill>
                              <a:srgbClr val="000000"/>
                            </a:solidFill>
                            <a:miter lim="800000"/>
                            <a:headEnd/>
                            <a:tailEnd/>
                          </a:ln>
                        </wps:spPr>
                        <wps:txbx>
                          <w:txbxContent>
                            <w:p w:rsidR="00B21D80" w:rsidRDefault="00B21D80" w:rsidP="00B21D80">
                              <w:pPr>
                                <w:rPr>
                                  <w:sz w:val="18"/>
                                  <w:szCs w:val="18"/>
                                  <w:lang w:bidi="ar-IQ"/>
                                </w:rPr>
                              </w:pPr>
                              <w:r>
                                <w:rPr>
                                  <w:rFonts w:hint="cs"/>
                                  <w:sz w:val="18"/>
                                  <w:szCs w:val="18"/>
                                  <w:rtl/>
                                  <w:lang w:bidi="ar-IQ"/>
                                </w:rPr>
                                <w:t>تصميم العمليات</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752725" y="1038225"/>
                            <a:ext cx="914400" cy="342900"/>
                          </a:xfrm>
                          <a:prstGeom prst="rect">
                            <a:avLst/>
                          </a:prstGeom>
                          <a:solidFill>
                            <a:srgbClr val="FFFFFF"/>
                          </a:solidFill>
                          <a:ln w="19050">
                            <a:solidFill>
                              <a:srgbClr val="000000"/>
                            </a:solidFill>
                            <a:miter lim="800000"/>
                            <a:headEnd/>
                            <a:tailEnd/>
                          </a:ln>
                        </wps:spPr>
                        <wps:txbx>
                          <w:txbxContent>
                            <w:p w:rsidR="00B21D80" w:rsidRDefault="00B21D80" w:rsidP="00B21D80">
                              <w:pPr>
                                <w:rPr>
                                  <w:sz w:val="18"/>
                                  <w:szCs w:val="18"/>
                                  <w:lang w:bidi="ar-IQ"/>
                                </w:rPr>
                              </w:pPr>
                              <w:r>
                                <w:rPr>
                                  <w:rFonts w:hint="cs"/>
                                  <w:sz w:val="18"/>
                                  <w:szCs w:val="18"/>
                                  <w:rtl/>
                                  <w:lang w:bidi="ar-IQ"/>
                                </w:rPr>
                                <w:t xml:space="preserve">معلومات داخلية </w:t>
                              </w:r>
                            </w:p>
                            <w:p w:rsidR="00B21D80" w:rsidRDefault="00B21D80" w:rsidP="00B21D80">
                              <w:pPr>
                                <w:rPr>
                                  <w:rFonts w:hint="cs"/>
                                  <w:sz w:val="18"/>
                                  <w:szCs w:val="18"/>
                                  <w:rtl/>
                                  <w:lang w:bidi="ar-IQ"/>
                                </w:rPr>
                              </w:pPr>
                              <w:r>
                                <w:rPr>
                                  <w:rFonts w:hint="cs"/>
                                  <w:sz w:val="18"/>
                                  <w:szCs w:val="18"/>
                                  <w:rtl/>
                                  <w:lang w:bidi="ar-IQ"/>
                                </w:rPr>
                                <w:t>وخارجية</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010025" y="1038225"/>
                            <a:ext cx="1257300" cy="342900"/>
                          </a:xfrm>
                          <a:prstGeom prst="rect">
                            <a:avLst/>
                          </a:prstGeom>
                          <a:solidFill>
                            <a:srgbClr val="FFFFFF"/>
                          </a:solidFill>
                          <a:ln w="19050">
                            <a:solidFill>
                              <a:srgbClr val="000000"/>
                            </a:solidFill>
                            <a:miter lim="800000"/>
                            <a:headEnd/>
                            <a:tailEnd/>
                          </a:ln>
                        </wps:spPr>
                        <wps:txbx>
                          <w:txbxContent>
                            <w:p w:rsidR="00B21D80" w:rsidRDefault="00B21D80" w:rsidP="00B21D80">
                              <w:pPr>
                                <w:rPr>
                                  <w:sz w:val="18"/>
                                  <w:szCs w:val="18"/>
                                  <w:lang w:bidi="ar-IQ"/>
                                </w:rPr>
                              </w:pPr>
                              <w:r>
                                <w:rPr>
                                  <w:rFonts w:hint="cs"/>
                                  <w:sz w:val="18"/>
                                  <w:szCs w:val="18"/>
                                  <w:rtl/>
                                  <w:lang w:bidi="ar-IQ"/>
                                </w:rPr>
                                <w:t>التحليل الاستراتيجي</w:t>
                              </w:r>
                            </w:p>
                          </w:txbxContent>
                        </wps:txbx>
                        <wps:bodyPr rot="0" vert="horz" wrap="square" lIns="91440" tIns="45720" rIns="91440" bIns="45720" anchor="t" anchorCtr="0" upright="1">
                          <a:noAutofit/>
                        </wps:bodyPr>
                      </wps:wsp>
                      <wps:wsp>
                        <wps:cNvPr id="6" name="Rectangle 9"/>
                        <wps:cNvSpPr>
                          <a:spLocks noChangeArrowheads="1"/>
                        </wps:cNvSpPr>
                        <wps:spPr bwMode="auto">
                          <a:xfrm>
                            <a:off x="1152525" y="1838325"/>
                            <a:ext cx="1828800" cy="342900"/>
                          </a:xfrm>
                          <a:prstGeom prst="rect">
                            <a:avLst/>
                          </a:prstGeom>
                          <a:solidFill>
                            <a:srgbClr val="FFFFFF"/>
                          </a:solidFill>
                          <a:ln w="19050">
                            <a:solidFill>
                              <a:srgbClr val="000000"/>
                            </a:solidFill>
                            <a:miter lim="800000"/>
                            <a:headEnd/>
                            <a:tailEnd/>
                          </a:ln>
                        </wps:spPr>
                        <wps:txbx>
                          <w:txbxContent>
                            <w:p w:rsidR="00B21D80" w:rsidRDefault="00B21D80" w:rsidP="00B21D80">
                              <w:pPr>
                                <w:jc w:val="center"/>
                                <w:rPr>
                                  <w:lang w:bidi="ar-IQ"/>
                                </w:rPr>
                              </w:pPr>
                              <w:r>
                                <w:rPr>
                                  <w:rFonts w:hint="cs"/>
                                  <w:rtl/>
                                  <w:lang w:bidi="ar-IQ"/>
                                </w:rPr>
                                <w:t>معرفة مستوى الإدارة العليا</w:t>
                              </w:r>
                            </w:p>
                          </w:txbxContent>
                        </wps:txbx>
                        <wps:bodyPr rot="0" vert="horz" wrap="square" lIns="91440" tIns="45720" rIns="91440" bIns="45720" anchor="t" anchorCtr="0" upright="1">
                          <a:noAutofit/>
                        </wps:bodyPr>
                      </wps:wsp>
                      <wps:wsp>
                        <wps:cNvPr id="7" name="Line 10"/>
                        <wps:cNvCnPr/>
                        <wps:spPr bwMode="auto">
                          <a:xfrm>
                            <a:off x="2181225" y="466725"/>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1952625" y="1381125"/>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flipV="1">
                            <a:off x="1951990" y="466725"/>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3667125" y="1266825"/>
                            <a:ext cx="2286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flipH="1">
                            <a:off x="352425" y="352425"/>
                            <a:ext cx="13716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V="1">
                            <a:off x="1838325" y="1381125"/>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V="1">
                            <a:off x="2524125" y="1381125"/>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a:off x="352425" y="2066925"/>
                            <a:ext cx="800100" cy="635"/>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18"/>
                        <wps:cNvCnPr/>
                        <wps:spPr bwMode="auto">
                          <a:xfrm flipH="1">
                            <a:off x="1152525" y="1266825"/>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2409825" y="1266825"/>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52425" y="1381125"/>
                            <a:ext cx="0" cy="685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52425" y="352425"/>
                            <a:ext cx="635" cy="685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flipV="1">
                            <a:off x="1380490" y="1381125"/>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لوحة قماشية 20" o:spid="_x0000_s1026" editas="canvas" style="width:415.5pt;height:180pt;mso-position-horizontal-relative:char;mso-position-vertical-relative:line" coordsize="5276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22860;visibility:visible;mso-wrap-style:square" stroked="t" strokeweight="4.5pt">
                  <v:fill o:detectmouseclick="t"/>
                  <v:stroke linestyle="thickThin"/>
                  <v:path o:connecttype="none"/>
                </v:shape>
                <v:rect id="Rectangle 4" o:spid="_x0000_s1028" style="position:absolute;left:17240;top:1238;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hFsEA&#10;AADaAAAADwAAAGRycy9kb3ducmV2LnhtbERPS4vCMBC+C/6HMAt7kTV1BZFqlMUHiAdBLazHoRnb&#10;YjMpSdTqr98IC56Gj+8503lranEj5yvLCgb9BARxbnXFhYLsuP4ag/ABWWNtmRQ8yMN81u1MMdX2&#10;znu6HUIhYgj7FBWUITSplD4vyaDv24Y4cmfrDIYIXSG1w3sMN7X8TpKRNFhxbCixoUVJ+eVwNQqa&#10;3wWa1U6GrXsMn6drtlsuk55Snx/tzwREoDa8xf/ujY7z4fXK68r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UIRbBAAAA2gAAAA8AAAAAAAAAAAAAAAAAmAIAAGRycy9kb3du&#10;cmV2LnhtbFBLBQYAAAAABAAEAPUAAACGAwAAAAA=&#10;" strokeweight="1.5pt">
                  <v:textbox>
                    <w:txbxContent>
                      <w:p w:rsidR="00B21D80" w:rsidRDefault="00B21D80" w:rsidP="00B21D80">
                        <w:pPr>
                          <w:rPr>
                            <w:sz w:val="18"/>
                            <w:szCs w:val="18"/>
                            <w:lang w:bidi="ar-IQ"/>
                          </w:rPr>
                        </w:pPr>
                        <w:r>
                          <w:rPr>
                            <w:rFonts w:hint="cs"/>
                            <w:sz w:val="18"/>
                            <w:szCs w:val="18"/>
                            <w:rtl/>
                            <w:lang w:bidi="ar-IQ"/>
                          </w:rPr>
                          <w:t xml:space="preserve">السلوك </w:t>
                        </w:r>
                        <w:proofErr w:type="spellStart"/>
                        <w:r>
                          <w:rPr>
                            <w:rFonts w:hint="cs"/>
                            <w:sz w:val="18"/>
                            <w:szCs w:val="18"/>
                            <w:rtl/>
                            <w:lang w:bidi="ar-IQ"/>
                          </w:rPr>
                          <w:t>الإستراتيج</w:t>
                        </w:r>
                        <w:r>
                          <w:rPr>
                            <w:rFonts w:hint="eastAsia"/>
                            <w:sz w:val="18"/>
                            <w:szCs w:val="18"/>
                            <w:rtl/>
                            <w:lang w:bidi="ar-IQ"/>
                          </w:rPr>
                          <w:t>ي</w:t>
                        </w:r>
                        <w:proofErr w:type="spellEnd"/>
                      </w:p>
                    </w:txbxContent>
                  </v:textbox>
                </v:rect>
                <v:rect id="Rectangle 5" o:spid="_x0000_s1029" style="position:absolute;left:95;top:10382;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YcUA&#10;AADaAAAADwAAAGRycy9kb3ducmV2LnhtbESPzWrDMBCE74G+g9hCL6GW60IJjpVQ8gOlh0ATQ3Nc&#10;rK1taq2MpMROn74KBHIcZuYbpliOphNncr61rOAlSUEQV1a3XCsoD9vnGQgfkDV2lknBhTwsFw+T&#10;AnNtB/6i8z7UIkLY56igCaHPpfRVQwZ9Ynvi6P1YZzBE6WqpHQ4RbjqZpembNNhyXGiwp1VD1e/+&#10;ZBT03ys0m50Mn+7y+nc8lbv1Op0q9fQ4vs9BBBrDPXxrf2gFGVyvxB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r9hxQAAANoAAAAPAAAAAAAAAAAAAAAAAJgCAABkcnMv&#10;ZG93bnJldi54bWxQSwUGAAAAAAQABAD1AAAAigMAAAAA&#10;" strokeweight="1.5pt">
                  <v:textbox>
                    <w:txbxContent>
                      <w:p w:rsidR="00B21D80" w:rsidRDefault="00B21D80" w:rsidP="00B21D80">
                        <w:pPr>
                          <w:rPr>
                            <w:sz w:val="18"/>
                            <w:szCs w:val="18"/>
                            <w:lang w:bidi="ar-IQ"/>
                          </w:rPr>
                        </w:pPr>
                        <w:r>
                          <w:rPr>
                            <w:rFonts w:hint="cs"/>
                            <w:sz w:val="18"/>
                            <w:szCs w:val="18"/>
                            <w:rtl/>
                            <w:lang w:bidi="ar-IQ"/>
                          </w:rPr>
                          <w:t>معرفة مستويات الأعمال</w:t>
                        </w:r>
                      </w:p>
                    </w:txbxContent>
                  </v:textbox>
                </v:rect>
                <v:rect id="Rectangle 6" o:spid="_x0000_s1030" style="position:absolute;left:14954;top:10382;width:91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textbox>
                    <w:txbxContent>
                      <w:p w:rsidR="00B21D80" w:rsidRDefault="00B21D80" w:rsidP="00B21D80">
                        <w:pPr>
                          <w:rPr>
                            <w:sz w:val="18"/>
                            <w:szCs w:val="18"/>
                            <w:lang w:bidi="ar-IQ"/>
                          </w:rPr>
                        </w:pPr>
                        <w:r>
                          <w:rPr>
                            <w:rFonts w:hint="cs"/>
                            <w:sz w:val="18"/>
                            <w:szCs w:val="18"/>
                            <w:rtl/>
                            <w:lang w:bidi="ar-IQ"/>
                          </w:rPr>
                          <w:t>تصميم العمليات</w:t>
                        </w:r>
                      </w:p>
                    </w:txbxContent>
                  </v:textbox>
                </v:rect>
                <v:rect id="Rectangle 7" o:spid="_x0000_s1031" style="position:absolute;left:27527;top:1038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CjsQA&#10;AADaAAAADwAAAGRycy9kb3ducmV2LnhtbESPS4sCMRCE7wv+h9CCF9GMD0RmjSLqwuJB8AG7x2bS&#10;OzM46QxJ1NFfbwRhj0VVfUXNFo2pxJWcLy0rGPQTEMSZ1SXnCk7Hr94UhA/IGivLpOBOHhbz1scM&#10;U21vvKfrIeQiQtinqKAIoU6l9FlBBn3f1sTR+7POYIjS5VI7vEW4qeQwSSbSYMlxocCaVgVl58PF&#10;KKh/Vmg2Oxm27j56/F5Ou/U66SrVaTfLTxCBmvAffre/tYIxvK7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go7EAAAA2gAAAA8AAAAAAAAAAAAAAAAAmAIAAGRycy9k&#10;b3ducmV2LnhtbFBLBQYAAAAABAAEAPUAAACJAwAAAAA=&#10;" strokeweight="1.5pt">
                  <v:textbox>
                    <w:txbxContent>
                      <w:p w:rsidR="00B21D80" w:rsidRDefault="00B21D80" w:rsidP="00B21D80">
                        <w:pPr>
                          <w:rPr>
                            <w:sz w:val="18"/>
                            <w:szCs w:val="18"/>
                            <w:lang w:bidi="ar-IQ"/>
                          </w:rPr>
                        </w:pPr>
                        <w:r>
                          <w:rPr>
                            <w:rFonts w:hint="cs"/>
                            <w:sz w:val="18"/>
                            <w:szCs w:val="18"/>
                            <w:rtl/>
                            <w:lang w:bidi="ar-IQ"/>
                          </w:rPr>
                          <w:t xml:space="preserve">معلومات داخلية </w:t>
                        </w:r>
                      </w:p>
                      <w:p w:rsidR="00B21D80" w:rsidRDefault="00B21D80" w:rsidP="00B21D80">
                        <w:pPr>
                          <w:rPr>
                            <w:rFonts w:hint="cs"/>
                            <w:sz w:val="18"/>
                            <w:szCs w:val="18"/>
                            <w:rtl/>
                            <w:lang w:bidi="ar-IQ"/>
                          </w:rPr>
                        </w:pPr>
                        <w:r>
                          <w:rPr>
                            <w:rFonts w:hint="cs"/>
                            <w:sz w:val="18"/>
                            <w:szCs w:val="18"/>
                            <w:rtl/>
                            <w:lang w:bidi="ar-IQ"/>
                          </w:rPr>
                          <w:t>وخارجية</w:t>
                        </w:r>
                      </w:p>
                    </w:txbxContent>
                  </v:textbox>
                </v:rect>
                <v:rect id="Rectangle 8" o:spid="_x0000_s1032" style="position:absolute;left:40100;top:10382;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textbox>
                    <w:txbxContent>
                      <w:p w:rsidR="00B21D80" w:rsidRDefault="00B21D80" w:rsidP="00B21D80">
                        <w:pPr>
                          <w:rPr>
                            <w:sz w:val="18"/>
                            <w:szCs w:val="18"/>
                            <w:lang w:bidi="ar-IQ"/>
                          </w:rPr>
                        </w:pPr>
                        <w:r>
                          <w:rPr>
                            <w:rFonts w:hint="cs"/>
                            <w:sz w:val="18"/>
                            <w:szCs w:val="18"/>
                            <w:rtl/>
                            <w:lang w:bidi="ar-IQ"/>
                          </w:rPr>
                          <w:t>التحليل الاستراتيجي</w:t>
                        </w:r>
                      </w:p>
                    </w:txbxContent>
                  </v:textbox>
                </v:rect>
                <v:rect id="Rectangle 9" o:spid="_x0000_s1033" style="position:absolute;left:11525;top:1838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5YsMA&#10;AADaAAAADwAAAGRycy9kb3ducmV2LnhtbESPT4vCMBTE74LfIbyFvciauoJINcriHxAPglpYj4/m&#10;2Rabl5JErX76zYLgcZiZ3zDTeWtqcSPnK8sKBv0EBHFudcWFguy4/hqD8AFZY22ZFDzIw3zW7Uwx&#10;1fbOe7odQiEihH2KCsoQmlRKn5dk0PdtQxy9s3UGQ5SukNrhPcJNLb+TZCQNVhwXSmxoUVJ+OVyN&#10;guZ3gWa1k2HrHsPn6Zrtlsukp9TnR/szARGoDe/wq73RCkbwfyXe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25YsMAAADaAAAADwAAAAAAAAAAAAAAAACYAgAAZHJzL2Rv&#10;d25yZXYueG1sUEsFBgAAAAAEAAQA9QAAAIgDAAAAAA==&#10;" strokeweight="1.5pt">
                  <v:textbox>
                    <w:txbxContent>
                      <w:p w:rsidR="00B21D80" w:rsidRDefault="00B21D80" w:rsidP="00B21D80">
                        <w:pPr>
                          <w:jc w:val="center"/>
                          <w:rPr>
                            <w:lang w:bidi="ar-IQ"/>
                          </w:rPr>
                        </w:pPr>
                        <w:r>
                          <w:rPr>
                            <w:rFonts w:hint="cs"/>
                            <w:rtl/>
                            <w:lang w:bidi="ar-IQ"/>
                          </w:rPr>
                          <w:t>معرفة مستوى الإدارة العليا</w:t>
                        </w:r>
                      </w:p>
                    </w:txbxContent>
                  </v:textbox>
                </v:rect>
                <v:line id="Line 10" o:spid="_x0000_s1034" style="position:absolute;visibility:visible;mso-wrap-style:square" from="21812,4667" to="21818,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LgcIAAADaAAAADwAAAGRycy9kb3ducmV2LnhtbESPT4vCMBTE7wt+h/AEb2vqn1WpRhHB&#10;XS97sHrQ26N5ttXmpTRR67c3guBxmJnfMLNFY0pxo9oVlhX0uhEI4tTqgjMF+936ewLCeWSNpWVS&#10;8CAHi3nra4axtnfe0i3xmQgQdjEqyL2vYildmpNB17UVcfBOtjbog6wzqWu8B7gpZT+KRtJgwWEh&#10;x4pWOaWX5GoU/OBglG3/D/60GR7PzYq495v8KdVpN8spCE+N/4Tf7Y1WMIbXlXA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LgcIAAADaAAAADwAAAAAAAAAAAAAA&#10;AAChAgAAZHJzL2Rvd25yZXYueG1sUEsFBgAAAAAEAAQA+QAAAJADAAAAAA==&#10;" strokeweight="1.5pt">
                  <v:stroke endarrow="block"/>
                </v:line>
                <v:line id="Line 11" o:spid="_x0000_s1035" style="position:absolute;visibility:visible;mso-wrap-style:square" from="19526,13811" to="19532,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f874AAADaAAAADwAAAGRycy9kb3ducmV2LnhtbERPy4rCMBTdC/5DuII7TX0VqUYRwRk3&#10;LqwudHdprm21uSlNRjt/bxaCy8N5L9etqcSTGldaVjAaRiCIM6tLzhWcT7vBHITzyBory6Tgnxys&#10;V93OEhNtX3ykZ+pzEULYJaig8L5OpHRZQQbd0NbEgbvZxqAPsMmlbvAVwk0lx1EUS4Mlh4YCa9oW&#10;lD3SP6NghpM4Px4u/rafXu/tlnj0k/4q1e+1mwUIT63/ij/uvVYQtoYr4Qb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05/zvgAAANoAAAAPAAAAAAAAAAAAAAAAAKEC&#10;AABkcnMvZG93bnJldi54bWxQSwUGAAAAAAQABAD5AAAAjAMAAAAA&#10;" strokeweight="1.5pt">
                  <v:stroke endarrow="block"/>
                </v:line>
                <v:line id="Line 12" o:spid="_x0000_s1036" style="position:absolute;flip:y;visibility:visible;mso-wrap-style:square" from="19519,4667" to="1952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0mh8IAAADaAAAADwAAAGRycy9kb3ducmV2LnhtbESPQWsCMRSE74X+h/AK3mpSYaWuRqli&#10;xWtVxONz89xdTV6WTequ/74pFHocZuYbZrbonRV3akPtWcPbUIEgLrypudRw2H++voMIEdmg9Uwa&#10;HhRgMX9+mmFufMdfdN/FUiQIhxw1VDE2uZShqMhhGPqGOHkX3zqMSbalNC12Ce6sHCk1lg5rTgsV&#10;NrSqqLjtvp2Gjdouu+skU6trdj5my97e1ier9eCl/5iCiNTH//Bfe2s0TOD3SroB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0mh8IAAADaAAAADwAAAAAAAAAAAAAA&#10;AAChAgAAZHJzL2Rvd25yZXYueG1sUEsFBgAAAAAEAAQA+QAAAJADAAAAAA==&#10;" strokeweight="1.5pt">
                  <v:stroke endarrow="block"/>
                </v:line>
                <v:line id="Line 13" o:spid="_x0000_s1037" style="position:absolute;flip:x;visibility:visible;mso-wrap-style:square" from="36671,12668" to="38957,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cPsQAAADbAAAADwAAAGRycy9kb3ducmV2LnhtbESPT0/DMAzF70h8h8hI3FgCUhHrlk1s&#10;ArTr/ghx9BrTdkucqglr+fb4MImbrff83s/z5Ri8ulCf2sgWHicGFHEVXcu1hcP+/eEFVMrIDn1k&#10;svBLCZaL25s5li4OvKXLLtdKQjiVaKHJuSu1TlVDAdMkdsSifcc+YJa1r7XrcZDw4PWTMc86YMvS&#10;0GBH64aq8+4nWPgwm9VwmhZmfSqOn8Vq9Oe3L2/t/d34OgOVacz/5uv1xgm+0MsvM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dw+xAAAANsAAAAPAAAAAAAAAAAA&#10;AAAAAKECAABkcnMvZG93bnJldi54bWxQSwUGAAAAAAQABAD5AAAAkgMAAAAA&#10;" strokeweight="1.5pt">
                  <v:stroke endarrow="block"/>
                </v:line>
                <v:line id="Line 14" o:spid="_x0000_s1038" style="position:absolute;flip:x;visibility:visible;mso-wrap-style:square" from="3524,3524" to="17240,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line id="Line 15" o:spid="_x0000_s1039" style="position:absolute;flip:y;visibility:visible;mso-wrap-style:square" from="18383,13811" to="1838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n0sEAAADbAAAADwAAAGRycy9kb3ducmV2LnhtbERPTWsCMRC9F/wPYYTeaqKwUrdGqWKL&#10;16qIx+lmuruaTJZN6q7/vhGE3ubxPme+7J0VV2pD7VnDeKRAEBfe1FxqOOw/Xl5BhIhs0HomDTcK&#10;sFwMnuaYG9/xF113sRQphEOOGqoYm1zKUFTkMIx8Q5y4H986jAm2pTQtdincWTlRaiod1pwaKmxo&#10;XVFx2f06DZ9qu+rOs0ytz9n3MVv19rI5Wa2fh/37G4hIffwXP9xbk+ZP4P5LO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fSwQAAANsAAAAPAAAAAAAAAAAAAAAA&#10;AKECAABkcnMvZG93bnJldi54bWxQSwUGAAAAAAQABAD5AAAAjwMAAAAA&#10;" strokeweight="1.5pt">
                  <v:stroke endarrow="block"/>
                </v:line>
                <v:line id="Line 16" o:spid="_x0000_s1040" style="position:absolute;flip:y;visibility:visible;mso-wrap-style:square" from="25241,13811" to="25247,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CScEAAADbAAAADwAAAGRycy9kb3ducmV2LnhtbERPTWsCMRC9C/6HMII3Taxs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40JJwQAAANsAAAAPAAAAAAAAAAAAAAAA&#10;AKECAABkcnMvZG93bnJldi54bWxQSwUGAAAAAAQABAD5AAAAjwMAAAAA&#10;" strokeweight="1.5pt">
                  <v:stroke endarrow="block"/>
                </v:line>
                <v:line id="Line 17" o:spid="_x0000_s1041" style="position:absolute;flip:x;visibility:visible;mso-wrap-style:square" from="3524,20669" to="11525,2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APbwAAADbAAAADwAAAGRycy9kb3ducmV2LnhtbERPSwrCMBDdC94hjOBOU0VEqlFEFBRc&#10;+DvA0Ew/2EzaJmq9vREEd/N431msWlOKJzWusKxgNIxAECdWF5wpuF13gxkI55E1lpZJwZscrJbd&#10;zgJjbV98pufFZyKEsItRQe59FUvpkpwMuqGtiAOX2sagD7DJpG7wFcJNKcdRNJUGCw4NOVa0ySm5&#10;Xx5Gwa5Op3iox8d6pqu6tJP0dN5Kpfq9dj0H4an1f/HPvddh/gS+v4QD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1APbwAAADbAAAADwAAAAAAAAAAAAAAAAChAgAA&#10;ZHJzL2Rvd25yZXYueG1sUEsFBgAAAAAEAAQA+QAAAIoDAAAAAA==&#10;" strokeweight="1.5pt">
                  <v:stroke startarrow="open"/>
                </v:line>
                <v:line id="Line 18" o:spid="_x0000_s1042" style="position:absolute;flip:x;visibility:visible;mso-wrap-style:square" from="11525,12668" to="14954,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2eMMMAAADbAAAADwAAAGRycy9kb3ducmV2LnhtbERPS2vCQBC+F/oflin0VjctVCS6hlIq&#10;ehHxAa23YXeapM3OxuwmRn+9Kwje5uN7ziTrbSU6anzpWMHrIAFBrJ0pOVew285eRiB8QDZYOSYF&#10;J/KQTR8fJpgad+Q1dZuQixjCPkUFRQh1KqXXBVn0A1cTR+7XNRZDhE0uTYPHGG4r+ZYkQ2mx5NhQ&#10;YE2fBen/TWsVLH4Ouv2a/a3a5XK422v3fZ73rNTzU/8xBhGoD3fxzb0wcf47XH+JB8jp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jDDAAAA2wAAAA8AAAAAAAAAAAAA&#10;AAAAoQIAAGRycy9kb3ducmV2LnhtbFBLBQYAAAAABAAEAPkAAACRAwAAAAA=&#10;" strokeweight="1.5pt">
                  <v:stroke startarrow="block" endarrow="block"/>
                </v:line>
                <v:line id="Line 19" o:spid="_x0000_s1043" style="position:absolute;flip:x;visibility:visible;mso-wrap-style:square" from="24098,12668" to="27527,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AR8IAAADbAAAADwAAAGRycy9kb3ducmV2LnhtbERPTWvCQBC9F/wPywje6sYegkRXKaLU&#10;i0hVsL0Nu9Mkmp2N2Y2m/vpuQfA2j/c503lnK3GlxpeOFYyGCQhi7UzJuYLDfvU6BuEDssHKMSn4&#10;JQ/zWe9liplxN/6k6y7kIoawz1BBEUKdSel1QRb90NXEkftxjcUQYZNL0+AthttKviVJKi2WHBsK&#10;rGlRkD7vWqtg/XXR7XJ12rabTXr41u54/+hYqUG/e5+ACNSFp/jhXps4P4X/X+I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AR8IAAADbAAAADwAAAAAAAAAAAAAA&#10;AAChAgAAZHJzL2Rvd25yZXYueG1sUEsFBgAAAAAEAAQA+QAAAJADAAAAAA==&#10;" strokeweight="1.5pt">
                  <v:stroke startarrow="block" endarrow="block"/>
                </v:line>
                <v:line id="Line 20" o:spid="_x0000_s1044" style="position:absolute;visibility:visible;mso-wrap-style:square" from="3524,13811" to="3524,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Line 21" o:spid="_x0000_s1045" style="position:absolute;visibility:visible;mso-wrap-style:square" from="3524,3524" to="353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x1sUAAADbAAAADwAAAGRycy9kb3ducmV2LnhtbESPMW/CQAyFd6T+h5MrdYMLLURVmguq&#10;kAosHQgd2s3KmSRtzhflDgj/Hg+V2Gy95/c+56vRdepMQ2g9G5jPElDElbct1wa+Dh/TV1AhIlvs&#10;PJOBKwVYFQ+THDPrL7yncxlrJSEcMjTQxNhnWoeqIYdh5nti0Y5+cBhlHWptB7xIuOv0c5Kk2mHL&#10;0tBgT+uGqr/y5Aws8SWt95/f8bhb/PyOa+L5ptwa8/Q4vr+BijTGu/n/emcFX2DlFx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x1sUAAADbAAAADwAAAAAAAAAA&#10;AAAAAAChAgAAZHJzL2Rvd25yZXYueG1sUEsFBgAAAAAEAAQA+QAAAJMDAAAAAA==&#10;" strokeweight="1.5pt">
                  <v:stroke endarrow="block"/>
                </v:line>
                <v:line id="Line 22" o:spid="_x0000_s1046" style="position:absolute;flip:y;visibility:visible;mso-wrap-style:square" from="13804,13811" to="13811,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w10:wrap anchorx="page"/>
                <w10:anchorlock/>
              </v:group>
            </w:pict>
          </mc:Fallback>
        </mc:AlternateContent>
      </w:r>
    </w:p>
    <w:p w:rsidR="00B21D80" w:rsidRDefault="00B21D80" w:rsidP="00B21D80">
      <w:pPr>
        <w:jc w:val="center"/>
        <w:rPr>
          <w:rFonts w:cs="Simplified Arabic" w:hint="cs"/>
          <w:b/>
          <w:bCs/>
          <w:sz w:val="28"/>
          <w:szCs w:val="28"/>
          <w:rtl/>
          <w:lang w:bidi="ar-IQ"/>
        </w:rPr>
      </w:pPr>
      <w:r>
        <w:rPr>
          <w:rFonts w:cs="Simplified Arabic" w:hint="cs"/>
          <w:b/>
          <w:bCs/>
          <w:sz w:val="28"/>
          <w:szCs w:val="28"/>
          <w:rtl/>
          <w:lang w:bidi="ar-IQ"/>
        </w:rPr>
        <w:t xml:space="preserve">الشكل(3) دور التخطيط </w:t>
      </w:r>
      <w:proofErr w:type="spellStart"/>
      <w:r>
        <w:rPr>
          <w:rFonts w:cs="Simplified Arabic" w:hint="cs"/>
          <w:b/>
          <w:bCs/>
          <w:sz w:val="28"/>
          <w:szCs w:val="28"/>
          <w:rtl/>
          <w:lang w:bidi="ar-IQ"/>
        </w:rPr>
        <w:t>الإستراتيج</w:t>
      </w:r>
      <w:r>
        <w:rPr>
          <w:rFonts w:cs="Simplified Arabic" w:hint="eastAsia"/>
          <w:b/>
          <w:bCs/>
          <w:sz w:val="28"/>
          <w:szCs w:val="28"/>
          <w:rtl/>
          <w:lang w:bidi="ar-IQ"/>
        </w:rPr>
        <w:t>ي</w:t>
      </w:r>
      <w:proofErr w:type="spellEnd"/>
      <w:r>
        <w:rPr>
          <w:rFonts w:cs="Simplified Arabic" w:hint="cs"/>
          <w:b/>
          <w:bCs/>
          <w:sz w:val="28"/>
          <w:szCs w:val="28"/>
          <w:rtl/>
          <w:lang w:bidi="ar-IQ"/>
        </w:rPr>
        <w:t xml:space="preserve"> في تكوين المعرفة </w:t>
      </w:r>
      <w:proofErr w:type="spellStart"/>
      <w:r>
        <w:rPr>
          <w:rFonts w:cs="Simplified Arabic" w:hint="cs"/>
          <w:b/>
          <w:bCs/>
          <w:sz w:val="28"/>
          <w:szCs w:val="28"/>
          <w:rtl/>
          <w:lang w:bidi="ar-IQ"/>
        </w:rPr>
        <w:t>الستراتيجية</w:t>
      </w:r>
      <w:proofErr w:type="spellEnd"/>
    </w:p>
    <w:p w:rsidR="00B21D80" w:rsidRDefault="00B21D80" w:rsidP="00B21D80">
      <w:pPr>
        <w:bidi w:val="0"/>
        <w:jc w:val="lowKashida"/>
        <w:rPr>
          <w:rFonts w:cs="Simplified Arabic" w:hint="cs"/>
          <w:b/>
          <w:bCs/>
          <w:rtl/>
          <w:lang w:bidi="ar-IQ"/>
        </w:rPr>
      </w:pPr>
      <w:r>
        <w:rPr>
          <w:rFonts w:cs="Simplified Arabic"/>
          <w:b/>
          <w:bCs/>
          <w:lang w:bidi="ar-IQ"/>
        </w:rPr>
        <w:t>Sours:(Kuwada,1998,3)</w:t>
      </w:r>
    </w:p>
    <w:p w:rsidR="00B21D80" w:rsidRDefault="00B21D80" w:rsidP="00B21D80">
      <w:pPr>
        <w:jc w:val="lowKashida"/>
        <w:rPr>
          <w:rFonts w:cs="Simplified Arabic"/>
          <w:b/>
          <w:bCs/>
          <w:lang w:bidi="ar-IQ"/>
        </w:rPr>
      </w:pPr>
    </w:p>
    <w:p w:rsidR="00B21D80" w:rsidRDefault="00B21D80" w:rsidP="00B21D80">
      <w:pPr>
        <w:ind w:firstLine="720"/>
        <w:jc w:val="lowKashida"/>
        <w:rPr>
          <w:rFonts w:cs="Simplified Arabic" w:hint="cs"/>
          <w:sz w:val="28"/>
          <w:szCs w:val="28"/>
          <w:rtl/>
          <w:lang w:bidi="ar-IQ"/>
        </w:rPr>
      </w:pPr>
      <w:r>
        <w:rPr>
          <w:rFonts w:cs="Simplified Arabic" w:hint="cs"/>
          <w:sz w:val="28"/>
          <w:szCs w:val="28"/>
          <w:rtl/>
          <w:lang w:bidi="ar-IQ"/>
        </w:rPr>
        <w:t xml:space="preserve">يتمخض عن إنجاز مهام التحليل </w:t>
      </w:r>
      <w:proofErr w:type="spellStart"/>
      <w:r>
        <w:rPr>
          <w:rFonts w:cs="Simplified Arabic" w:hint="cs"/>
          <w:sz w:val="28"/>
          <w:szCs w:val="28"/>
          <w:rtl/>
          <w:lang w:bidi="ar-IQ"/>
        </w:rPr>
        <w:t>الإستراتيج</w:t>
      </w:r>
      <w:r>
        <w:rPr>
          <w:rFonts w:cs="Simplified Arabic" w:hint="eastAsia"/>
          <w:sz w:val="28"/>
          <w:szCs w:val="28"/>
          <w:rtl/>
          <w:lang w:bidi="ar-IQ"/>
        </w:rPr>
        <w:t>ي</w:t>
      </w:r>
      <w:proofErr w:type="spellEnd"/>
      <w:r>
        <w:rPr>
          <w:rFonts w:cs="Simplified Arabic" w:hint="cs"/>
          <w:sz w:val="28"/>
          <w:szCs w:val="28"/>
          <w:rtl/>
          <w:lang w:bidi="ar-IQ"/>
        </w:rPr>
        <w:t xml:space="preserve"> لمخرجات أنظمة المعلومات الاستراتيجية إمكانية تصنيفها في مجموعتين ، </w:t>
      </w:r>
      <w:r>
        <w:rPr>
          <w:rFonts w:cs="Simplified Arabic" w:hint="cs"/>
          <w:b/>
          <w:bCs/>
          <w:sz w:val="28"/>
          <w:szCs w:val="28"/>
          <w:rtl/>
          <w:lang w:bidi="ar-IQ"/>
        </w:rPr>
        <w:t>داخلية:</w:t>
      </w:r>
      <w:r>
        <w:rPr>
          <w:rFonts w:cs="Simplified Arabic" w:hint="cs"/>
          <w:sz w:val="28"/>
          <w:szCs w:val="28"/>
          <w:rtl/>
          <w:lang w:bidi="ar-IQ"/>
        </w:rPr>
        <w:t xml:space="preserve"> تعنى بتشخيص نقاط قوة وضعف المنظمة، </w:t>
      </w:r>
      <w:r>
        <w:rPr>
          <w:rFonts w:cs="Simplified Arabic" w:hint="cs"/>
          <w:b/>
          <w:bCs/>
          <w:sz w:val="28"/>
          <w:szCs w:val="28"/>
          <w:rtl/>
          <w:lang w:bidi="ar-IQ"/>
        </w:rPr>
        <w:t>وخارجية</w:t>
      </w:r>
      <w:r>
        <w:rPr>
          <w:rFonts w:cs="Simplified Arabic" w:hint="cs"/>
          <w:sz w:val="28"/>
          <w:szCs w:val="28"/>
          <w:rtl/>
          <w:lang w:bidi="ar-IQ"/>
        </w:rPr>
        <w:t xml:space="preserve"> تخص نواحي الفرص والتهديدات التي تواجهها، وكلتاهما مهمان لأغراض تصميم عمليات المنظمة بما يعزز من سلوكها الاستراتيجي، بوصفه الأداة التي تترجم معارف المنظمة على مستويي العاملين(مستويات الأعمال) والمديرين(الإدارة العليا) إلى واقع فعلي له أهميته البالغة في تطوير نواحي تصميم العمليات ، وتحسين السلوك الاستراتيجي نفسه ، وتعزيز المعرفة </w:t>
      </w:r>
      <w:proofErr w:type="spellStart"/>
      <w:r>
        <w:rPr>
          <w:rFonts w:cs="Simplified Arabic" w:hint="cs"/>
          <w:sz w:val="28"/>
          <w:szCs w:val="28"/>
          <w:rtl/>
          <w:lang w:bidi="ar-IQ"/>
        </w:rPr>
        <w:t>المنظمية</w:t>
      </w:r>
      <w:proofErr w:type="spellEnd"/>
      <w:r>
        <w:rPr>
          <w:rFonts w:cs="Simplified Arabic" w:hint="cs"/>
          <w:sz w:val="28"/>
          <w:szCs w:val="28"/>
          <w:rtl/>
          <w:lang w:bidi="ar-IQ"/>
        </w:rPr>
        <w:t xml:space="preserve"> لاحقاً أيضا .</w:t>
      </w:r>
    </w:p>
    <w:p w:rsidR="00B21D80" w:rsidRDefault="00B21D80" w:rsidP="00B21D80">
      <w:pPr>
        <w:ind w:firstLine="720"/>
        <w:jc w:val="lowKashida"/>
        <w:rPr>
          <w:rFonts w:cs="Simplified Arabic" w:hint="cs"/>
          <w:sz w:val="28"/>
          <w:szCs w:val="28"/>
          <w:rtl/>
          <w:lang w:bidi="ar-IQ"/>
        </w:rPr>
      </w:pPr>
      <w:r>
        <w:rPr>
          <w:rFonts w:cs="Simplified Arabic" w:hint="cs"/>
          <w:sz w:val="28"/>
          <w:szCs w:val="28"/>
          <w:rtl/>
          <w:lang w:bidi="ar-IQ"/>
        </w:rPr>
        <w:lastRenderedPageBreak/>
        <w:t xml:space="preserve"> فضلاً عن ذلك يبدو التعلم التنظيمي ، لاسيما في إطار بعده الاستراتيجي، بوصفه من وسائل نقل المعرفة الاستراتيجية من مستويات الأعمال إلى قمة الهرم </w:t>
      </w:r>
      <w:proofErr w:type="spellStart"/>
      <w:r>
        <w:rPr>
          <w:rFonts w:cs="Simplified Arabic" w:hint="cs"/>
          <w:sz w:val="28"/>
          <w:szCs w:val="28"/>
          <w:rtl/>
          <w:lang w:bidi="ar-IQ"/>
        </w:rPr>
        <w:t>الإستراتيج</w:t>
      </w:r>
      <w:r>
        <w:rPr>
          <w:rFonts w:cs="Simplified Arabic" w:hint="eastAsia"/>
          <w:sz w:val="28"/>
          <w:szCs w:val="28"/>
          <w:rtl/>
          <w:lang w:bidi="ar-IQ"/>
        </w:rPr>
        <w:t>ي</w:t>
      </w:r>
      <w:proofErr w:type="spellEnd"/>
      <w:r>
        <w:rPr>
          <w:rFonts w:cs="Simplified Arabic" w:hint="cs"/>
          <w:sz w:val="28"/>
          <w:szCs w:val="28"/>
          <w:rtl/>
          <w:lang w:bidi="ar-IQ"/>
        </w:rPr>
        <w:t xml:space="preserve"> للمنظمة (الإدارة </w:t>
      </w:r>
      <w:proofErr w:type="spellStart"/>
      <w:r>
        <w:rPr>
          <w:rFonts w:cs="Simplified Arabic" w:hint="cs"/>
          <w:sz w:val="28"/>
          <w:szCs w:val="28"/>
          <w:rtl/>
          <w:lang w:bidi="ar-IQ"/>
        </w:rPr>
        <w:t>الإستراتيجية</w:t>
      </w:r>
      <w:proofErr w:type="spellEnd"/>
      <w:r>
        <w:rPr>
          <w:rFonts w:cs="Simplified Arabic" w:hint="cs"/>
          <w:sz w:val="28"/>
          <w:szCs w:val="28"/>
          <w:rtl/>
          <w:lang w:bidi="ar-IQ"/>
        </w:rPr>
        <w:t>) ، بما يوفر لها المعرفة المناسبة لطرائق إنجاز وسبل معالجتها بما يضمن تطويرها، وذلك إلى جانب الدور الذي تلعبه أنظمة المعلومات الاستراتيجية في هذه المجالات كما يؤكد ذلك الكتاب ومنهم(</w:t>
      </w:r>
      <w:r>
        <w:rPr>
          <w:rFonts w:cs="Simplified Arabic"/>
          <w:sz w:val="28"/>
          <w:szCs w:val="28"/>
          <w:lang w:bidi="ar-IQ"/>
        </w:rPr>
        <w:t>O</w:t>
      </w:r>
      <w:r w:rsidRPr="00752004">
        <w:rPr>
          <w:rFonts w:cs="Simplified Arabic"/>
          <w:sz w:val="28"/>
          <w:szCs w:val="28"/>
          <w:vertAlign w:val="superscript"/>
          <w:lang w:bidi="ar-IQ"/>
        </w:rPr>
        <w:t>,</w:t>
      </w:r>
      <w:r>
        <w:rPr>
          <w:rFonts w:cs="Simplified Arabic"/>
          <w:sz w:val="28"/>
          <w:szCs w:val="28"/>
          <w:lang w:bidi="ar-IQ"/>
        </w:rPr>
        <w:t>brin,2000,344-347</w:t>
      </w:r>
      <w:r>
        <w:rPr>
          <w:rFonts w:cs="Simplified Arabic" w:hint="cs"/>
          <w:sz w:val="28"/>
          <w:szCs w:val="28"/>
          <w:rtl/>
          <w:lang w:bidi="ar-IQ"/>
        </w:rPr>
        <w:t>) و(</w:t>
      </w:r>
      <w:r>
        <w:rPr>
          <w:rFonts w:cs="Simplified Arabic"/>
          <w:sz w:val="28"/>
          <w:szCs w:val="28"/>
          <w:lang w:bidi="ar-IQ"/>
        </w:rPr>
        <w:t>Firzsmons,2004,48</w:t>
      </w:r>
      <w:r>
        <w:rPr>
          <w:rFonts w:cs="Simplified Arabic" w:hint="cs"/>
          <w:sz w:val="28"/>
          <w:szCs w:val="28"/>
          <w:rtl/>
          <w:lang w:bidi="ar-IQ"/>
        </w:rPr>
        <w:t>) أيضا.</w:t>
      </w:r>
    </w:p>
    <w:p w:rsidR="00976CAB" w:rsidRDefault="00976CAB">
      <w:pPr>
        <w:rPr>
          <w:lang w:bidi="ar-IQ"/>
        </w:rPr>
      </w:pP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89C"/>
    <w:multiLevelType w:val="hybridMultilevel"/>
    <w:tmpl w:val="3C063BA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80"/>
    <w:rsid w:val="00976CAB"/>
    <w:rsid w:val="00B21D80"/>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8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8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527</Words>
  <Characters>3005</Characters>
  <Application>Microsoft Office Word</Application>
  <DocSecurity>0</DocSecurity>
  <Lines>25</Lines>
  <Paragraphs>7</Paragraphs>
  <ScaleCrop>false</ScaleCrop>
  <Company>SACC</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2020-03-02T14:16:00Z</dcterms:created>
  <dcterms:modified xsi:type="dcterms:W3CDTF">2020-03-02T14:21:00Z</dcterms:modified>
</cp:coreProperties>
</file>