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822FA" w:rsidRPr="008822FA" w:rsidRDefault="008822FA" w:rsidP="008822FA">
      <w:pPr>
        <w:rPr>
          <w:rFonts w:cs="PT Bold Heading" w:hint="cs"/>
          <w:b/>
          <w:bCs/>
          <w:sz w:val="28"/>
          <w:szCs w:val="28"/>
          <w:rtl/>
        </w:rPr>
      </w:pPr>
      <w:bookmarkStart w:id="0" w:name="_GoBack"/>
      <w:r w:rsidRPr="008822FA">
        <w:rPr>
          <w:rFonts w:cs="PT Bold Heading" w:hint="cs"/>
          <w:b/>
          <w:bCs/>
          <w:sz w:val="28"/>
          <w:szCs w:val="28"/>
          <w:rtl/>
        </w:rPr>
        <w:t xml:space="preserve">نظريات تصميم التعليم </w:t>
      </w:r>
      <w:bookmarkEnd w:id="0"/>
      <w:r w:rsidRPr="008822FA">
        <w:rPr>
          <w:rFonts w:cs="PT Bold Heading" w:hint="cs"/>
          <w:b/>
          <w:bCs/>
          <w:sz w:val="28"/>
          <w:szCs w:val="28"/>
          <w:rtl/>
        </w:rPr>
        <w:t xml:space="preserve">: </w:t>
      </w:r>
    </w:p>
    <w:p w:rsidR="008822FA" w:rsidRPr="008822FA" w:rsidRDefault="008822FA" w:rsidP="008822FA">
      <w:pPr>
        <w:rPr>
          <w:rFonts w:cs="PT Bold Heading" w:hint="cs"/>
          <w:b/>
          <w:bCs/>
          <w:sz w:val="28"/>
          <w:szCs w:val="28"/>
          <w:rtl/>
        </w:rPr>
      </w:pPr>
      <w:proofErr w:type="spellStart"/>
      <w:r w:rsidRPr="008822FA">
        <w:rPr>
          <w:rFonts w:ascii="Arial" w:hAnsi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8822F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8822F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8822F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8822F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8822F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الاساسية </w:t>
      </w:r>
      <w:r w:rsidRPr="008822F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8822F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8822FA">
        <w:rPr>
          <w:rFonts w:ascii="Arial" w:hAnsi="Arial"/>
          <w:b/>
          <w:bCs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8822FA" w:rsidRPr="008822FA" w:rsidRDefault="008822FA" w:rsidP="008822FA">
      <w:pPr>
        <w:rPr>
          <w:rFonts w:cs="PT Bold Heading" w:hint="cs"/>
          <w:b/>
          <w:bCs/>
          <w:rtl/>
        </w:rPr>
      </w:pPr>
      <w:r w:rsidRPr="008822FA">
        <w:rPr>
          <w:rFonts w:cs="PT Bold Heading"/>
          <w:b/>
          <w:bCs/>
          <w:rtl/>
        </w:rPr>
        <w:t xml:space="preserve">أولاً : نظرية </w:t>
      </w:r>
      <w:proofErr w:type="spellStart"/>
      <w:r w:rsidRPr="008822FA">
        <w:rPr>
          <w:rFonts w:cs="PT Bold Heading"/>
          <w:b/>
          <w:bCs/>
          <w:rtl/>
        </w:rPr>
        <w:t>ملير</w:t>
      </w:r>
      <w:proofErr w:type="spellEnd"/>
      <w:r w:rsidRPr="008822FA">
        <w:rPr>
          <w:rFonts w:cs="Simplified Arabic"/>
          <w:b/>
          <w:bCs/>
          <w:rtl/>
        </w:rPr>
        <w:t> </w:t>
      </w:r>
      <w:r w:rsidRPr="008822FA">
        <w:rPr>
          <w:rFonts w:cs="PT Bold Heading"/>
          <w:b/>
          <w:bCs/>
          <w:rtl/>
        </w:rPr>
        <w:t xml:space="preserve"> للعناصر التعليمية </w:t>
      </w:r>
      <w:r w:rsidRPr="008822FA">
        <w:rPr>
          <w:rFonts w:cs="PT Bold Heading" w:hint="cs"/>
          <w:b/>
          <w:bCs/>
          <w:rtl/>
        </w:rPr>
        <w:t xml:space="preserve">: </w:t>
      </w:r>
    </w:p>
    <w:p w:rsidR="008822FA" w:rsidRPr="008822FA" w:rsidRDefault="008822FA" w:rsidP="008822FA">
      <w:pPr>
        <w:rPr>
          <w:rFonts w:cs="Simplified Arabic" w:hint="cs"/>
          <w:b/>
          <w:bCs/>
          <w:sz w:val="28"/>
          <w:szCs w:val="28"/>
          <w:rtl/>
        </w:rPr>
      </w:pPr>
      <w:r w:rsidRPr="008822FA">
        <w:rPr>
          <w:rFonts w:cs="Simplified Arabic"/>
          <w:b/>
          <w:bCs/>
          <w:sz w:val="28"/>
          <w:szCs w:val="28"/>
          <w:rtl/>
        </w:rPr>
        <w:t xml:space="preserve"> عملت هذه النظرية على تنظيم محتوى المادة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التعليمية على المستوى المصغر، وهو المستوى الذي يتناول عدداً محدداً من المفاهيم،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أو المبادئ أو الإجراءات التعليمية، وتعليمها كل على حده في حصة دراسية تقدر بـ</w:t>
      </w:r>
      <w:r w:rsidRPr="008822FA">
        <w:rPr>
          <w:rFonts w:cs="Simplified Arabic"/>
          <w:b/>
          <w:bCs/>
          <w:sz w:val="28"/>
          <w:szCs w:val="28"/>
        </w:rPr>
        <w:t xml:space="preserve"> ( 45 ) </w:t>
      </w:r>
      <w:r w:rsidRPr="008822FA">
        <w:rPr>
          <w:rFonts w:cs="Simplified Arabic"/>
          <w:b/>
          <w:bCs/>
          <w:sz w:val="28"/>
          <w:szCs w:val="28"/>
          <w:rtl/>
        </w:rPr>
        <w:t xml:space="preserve">دقيقة 0 وقد اعتمدت هذه النظرية على </w:t>
      </w:r>
      <w:r w:rsidRPr="008822FA">
        <w:rPr>
          <w:rFonts w:cs="Simplified Arabic" w:hint="cs"/>
          <w:b/>
          <w:bCs/>
          <w:sz w:val="28"/>
          <w:szCs w:val="28"/>
          <w:rtl/>
        </w:rPr>
        <w:t>ق</w:t>
      </w:r>
      <w:r w:rsidRPr="008822FA">
        <w:rPr>
          <w:rFonts w:cs="Simplified Arabic"/>
          <w:b/>
          <w:bCs/>
          <w:sz w:val="28"/>
          <w:szCs w:val="28"/>
          <w:rtl/>
        </w:rPr>
        <w:t>ضيتين أساسيتين هما</w:t>
      </w:r>
      <w:r w:rsidRPr="008822FA">
        <w:rPr>
          <w:rFonts w:cs="Simplified Arabic"/>
          <w:b/>
          <w:bCs/>
          <w:sz w:val="28"/>
          <w:szCs w:val="28"/>
        </w:rPr>
        <w:t xml:space="preserve">: 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- </w:t>
      </w:r>
      <w:r w:rsidRPr="008822FA">
        <w:rPr>
          <w:rFonts w:cs="Simplified Arabic"/>
          <w:b/>
          <w:bCs/>
          <w:sz w:val="28"/>
          <w:szCs w:val="28"/>
          <w:rtl/>
        </w:rPr>
        <w:t>أن عملية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التعليم تتم ضمن إطارين هما عرض المادة التعل</w:t>
      </w:r>
      <w:r w:rsidRPr="008822FA">
        <w:rPr>
          <w:rFonts w:cs="Simplified Arabic" w:hint="cs"/>
          <w:b/>
          <w:bCs/>
          <w:sz w:val="28"/>
          <w:szCs w:val="28"/>
          <w:rtl/>
        </w:rPr>
        <w:t>ي</w:t>
      </w:r>
      <w:r w:rsidRPr="008822FA">
        <w:rPr>
          <w:rFonts w:cs="Simplified Arabic"/>
          <w:b/>
          <w:bCs/>
          <w:sz w:val="28"/>
          <w:szCs w:val="28"/>
          <w:rtl/>
        </w:rPr>
        <w:t>مية    أو شرحها ، أو توضيحها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،أو تعليمها 0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- </w:t>
      </w:r>
      <w:r w:rsidRPr="008822FA">
        <w:rPr>
          <w:rFonts w:cs="Simplified Arabic"/>
          <w:b/>
          <w:bCs/>
          <w:sz w:val="28"/>
          <w:szCs w:val="28"/>
          <w:rtl/>
        </w:rPr>
        <w:t>السؤال عن هذه المادة التعليمية أو اختبارها 0</w:t>
      </w:r>
    </w:p>
    <w:p w:rsidR="008822FA" w:rsidRPr="008822FA" w:rsidRDefault="008822FA" w:rsidP="008822FA">
      <w:pPr>
        <w:rPr>
          <w:rFonts w:cs="Simplified Arabic" w:hint="cs"/>
          <w:b/>
          <w:bCs/>
          <w:sz w:val="28"/>
          <w:szCs w:val="28"/>
          <w:rtl/>
        </w:rPr>
      </w:pPr>
      <w:r w:rsidRPr="008822F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 xml:space="preserve"> ويمكن استخدام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 xml:space="preserve">هذين الإطارين مع نمطين من أنماط المحتوى التعليمي من </w:t>
      </w:r>
      <w:proofErr w:type="spellStart"/>
      <w:r w:rsidRPr="008822FA">
        <w:rPr>
          <w:rFonts w:cs="Simplified Arabic"/>
          <w:b/>
          <w:bCs/>
          <w:sz w:val="28"/>
          <w:szCs w:val="28"/>
          <w:rtl/>
        </w:rPr>
        <w:t>وجة</w:t>
      </w:r>
      <w:proofErr w:type="spellEnd"/>
      <w:r w:rsidRPr="008822FA">
        <w:rPr>
          <w:rFonts w:cs="Simplified Arabic"/>
          <w:b/>
          <w:bCs/>
          <w:sz w:val="28"/>
          <w:szCs w:val="28"/>
          <w:rtl/>
        </w:rPr>
        <w:t xml:space="preserve"> نظر ( </w:t>
      </w:r>
      <w:proofErr w:type="spellStart"/>
      <w:r w:rsidRPr="008822FA">
        <w:rPr>
          <w:rFonts w:cs="Simplified Arabic"/>
          <w:b/>
          <w:bCs/>
          <w:sz w:val="28"/>
          <w:szCs w:val="28"/>
          <w:rtl/>
        </w:rPr>
        <w:t>ملير</w:t>
      </w:r>
      <w:proofErr w:type="spellEnd"/>
      <w:r w:rsidRPr="008822FA">
        <w:rPr>
          <w:rFonts w:cs="Simplified Arabic"/>
          <w:b/>
          <w:bCs/>
          <w:sz w:val="28"/>
          <w:szCs w:val="28"/>
          <w:rtl/>
        </w:rPr>
        <w:t>) وهما</w:t>
      </w:r>
      <w:r w:rsidRPr="008822FA">
        <w:rPr>
          <w:rFonts w:cs="Simplified Arabic"/>
          <w:b/>
          <w:bCs/>
          <w:sz w:val="28"/>
          <w:szCs w:val="28"/>
        </w:rPr>
        <w:t xml:space="preserve">: 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 - </w:t>
      </w:r>
      <w:r w:rsidRPr="008822FA">
        <w:rPr>
          <w:rFonts w:cs="Simplified Arabic"/>
          <w:b/>
          <w:bCs/>
          <w:sz w:val="28"/>
          <w:szCs w:val="28"/>
          <w:rtl/>
        </w:rPr>
        <w:t>الأفكار العامة 0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 - </w:t>
      </w:r>
      <w:r w:rsidRPr="008822FA">
        <w:rPr>
          <w:rFonts w:cs="Simplified Arabic"/>
          <w:b/>
          <w:bCs/>
          <w:sz w:val="28"/>
          <w:szCs w:val="28"/>
          <w:rtl/>
        </w:rPr>
        <w:t>الأمثلة التي توضحها 0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/>
          <w:b/>
          <w:bCs/>
          <w:sz w:val="28"/>
          <w:szCs w:val="28"/>
          <w:rtl/>
        </w:rPr>
        <w:t>أن نتائج عملية التعلم يمكن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تصنيفها بناء على بعدين هما</w:t>
      </w:r>
      <w:r w:rsidRPr="008822FA">
        <w:rPr>
          <w:rFonts w:cs="Simplified Arabic"/>
          <w:b/>
          <w:bCs/>
          <w:sz w:val="28"/>
          <w:szCs w:val="28"/>
        </w:rPr>
        <w:t xml:space="preserve"> : 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 - </w:t>
      </w:r>
      <w:r w:rsidRPr="008822FA">
        <w:rPr>
          <w:rFonts w:cs="Simplified Arabic"/>
          <w:b/>
          <w:bCs/>
          <w:sz w:val="28"/>
          <w:szCs w:val="28"/>
          <w:rtl/>
        </w:rPr>
        <w:t>نوع المحتوى التعليمي المراد تعلمه ( حقائق ،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مفاهيم ، مبادئ ، إجراءات ) 0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 - </w:t>
      </w:r>
      <w:r w:rsidRPr="008822FA">
        <w:rPr>
          <w:rFonts w:cs="Simplified Arabic"/>
          <w:b/>
          <w:bCs/>
          <w:sz w:val="28"/>
          <w:szCs w:val="28"/>
          <w:rtl/>
        </w:rPr>
        <w:t>مستوى الأداء التعليمي المتوقع من المتعلم إظهاره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بعد عملية التعلم ( تذكر ، تطبق ، اكتشاف )</w:t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8822FA" w:rsidRPr="008822FA" w:rsidRDefault="008822FA" w:rsidP="008822FA">
      <w:pPr>
        <w:jc w:val="right"/>
        <w:rPr>
          <w:rFonts w:cs="Simplified Arabic" w:hint="cs"/>
          <w:b/>
          <w:bCs/>
          <w:sz w:val="28"/>
          <w:szCs w:val="28"/>
          <w:rtl/>
        </w:rPr>
      </w:pPr>
      <w:r w:rsidRPr="008822FA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( الحيلة ، 2005)      </w:t>
      </w:r>
    </w:p>
    <w:p w:rsidR="008822FA" w:rsidRPr="008822FA" w:rsidRDefault="008822FA" w:rsidP="008822FA">
      <w:pPr>
        <w:rPr>
          <w:rFonts w:cs="Simplified Arabic" w:hint="cs"/>
          <w:b/>
          <w:bCs/>
          <w:sz w:val="10"/>
          <w:szCs w:val="10"/>
          <w:rtl/>
        </w:rPr>
      </w:pPr>
      <w:r w:rsidRPr="008822FA">
        <w:rPr>
          <w:rFonts w:cs="PT Bold Heading"/>
          <w:b/>
          <w:bCs/>
          <w:sz w:val="28"/>
          <w:szCs w:val="28"/>
          <w:rtl/>
        </w:rPr>
        <w:t xml:space="preserve">ثانياً : نظرية ( </w:t>
      </w:r>
      <w:proofErr w:type="spellStart"/>
      <w:r w:rsidRPr="008822FA">
        <w:rPr>
          <w:rFonts w:cs="PT Bold Heading"/>
          <w:b/>
          <w:bCs/>
          <w:sz w:val="28"/>
          <w:szCs w:val="28"/>
          <w:rtl/>
        </w:rPr>
        <w:t>رايجلوث</w:t>
      </w:r>
      <w:proofErr w:type="spellEnd"/>
      <w:r w:rsidRPr="008822FA">
        <w:rPr>
          <w:rFonts w:cs="PT Bold Heading"/>
          <w:b/>
          <w:bCs/>
          <w:sz w:val="28"/>
          <w:szCs w:val="28"/>
          <w:rtl/>
        </w:rPr>
        <w:t xml:space="preserve"> ) التوسعية</w:t>
      </w:r>
      <w:r w:rsidRPr="008822FA">
        <w:rPr>
          <w:rFonts w:cs="Simplified Arabic"/>
          <w:b/>
          <w:bCs/>
          <w:sz w:val="28"/>
          <w:szCs w:val="28"/>
          <w:rtl/>
        </w:rPr>
        <w:t xml:space="preserve"> </w:t>
      </w:r>
      <w:r w:rsidRPr="008822FA">
        <w:rPr>
          <w:rFonts w:cs="Simplified Arabic"/>
          <w:b/>
          <w:bCs/>
          <w:sz w:val="28"/>
          <w:szCs w:val="28"/>
        </w:rPr>
        <w:br/>
      </w:r>
      <w:r w:rsidRPr="008822FA">
        <w:rPr>
          <w:rFonts w:cs="Simplified Arabic"/>
          <w:b/>
          <w:bCs/>
          <w:sz w:val="28"/>
          <w:szCs w:val="28"/>
          <w:rtl/>
        </w:rPr>
        <w:t>وهي النظرية الثانية في تصميم التعليم</w:t>
      </w:r>
      <w:r w:rsidRPr="008822F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وقد تناولت هذه النظرية تنظيم محتوى المادة الدراسية على المستوى الموسع ، وهو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المستوى الذي يتناول تنظيم مجموعة من المفاهيم أو المبادئ أو الإجراءات أو الحقائق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، والمعلومات التي تكون محتوى وحدة دراسية أو منهجاً دراسياً يعلم في سنة أو فصل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>دراسي أو شهر 0 وقد انبثقت هذه النظرية التوسعية من مفاهيم النظرية المعرفية في علم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 xml:space="preserve">النفس ، كمفاهيم المدرسة </w:t>
      </w:r>
      <w:proofErr w:type="spellStart"/>
      <w:r w:rsidRPr="008822FA">
        <w:rPr>
          <w:rFonts w:cs="Simplified Arabic"/>
          <w:b/>
          <w:bCs/>
          <w:sz w:val="28"/>
          <w:szCs w:val="28"/>
          <w:rtl/>
        </w:rPr>
        <w:t>الجشطلطية</w:t>
      </w:r>
      <w:proofErr w:type="spellEnd"/>
      <w:r w:rsidRPr="008822FA">
        <w:rPr>
          <w:rFonts w:cs="Simplified Arabic"/>
          <w:b/>
          <w:bCs/>
          <w:sz w:val="28"/>
          <w:szCs w:val="28"/>
          <w:rtl/>
        </w:rPr>
        <w:t xml:space="preserve"> التي تؤمن بأن التعلم يتم عن طريق الكل وليس</w:t>
      </w:r>
      <w:r w:rsidRPr="008822FA">
        <w:rPr>
          <w:rFonts w:cs="Simplified Arabic"/>
          <w:b/>
          <w:bCs/>
          <w:sz w:val="28"/>
          <w:szCs w:val="28"/>
        </w:rPr>
        <w:t xml:space="preserve"> </w:t>
      </w:r>
      <w:r w:rsidRPr="008822FA">
        <w:rPr>
          <w:rFonts w:cs="Simplified Arabic"/>
          <w:b/>
          <w:bCs/>
          <w:sz w:val="28"/>
          <w:szCs w:val="28"/>
          <w:rtl/>
        </w:rPr>
        <w:t xml:space="preserve">الجزء </w:t>
      </w:r>
      <w:r w:rsidRPr="008822FA">
        <w:rPr>
          <w:rFonts w:cs="Simplified Arabic" w:hint="cs"/>
          <w:b/>
          <w:bCs/>
          <w:sz w:val="28"/>
          <w:szCs w:val="28"/>
          <w:rtl/>
        </w:rPr>
        <w:t>. ( الحيلة ، 2005)</w:t>
      </w:r>
    </w:p>
    <w:p w:rsidR="00976CAB" w:rsidRPr="008822FA" w:rsidRDefault="00976CAB">
      <w:pPr>
        <w:rPr>
          <w:b/>
          <w:bCs/>
        </w:rPr>
      </w:pPr>
    </w:p>
    <w:sectPr w:rsidR="00976CAB" w:rsidRPr="008822FA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FA"/>
    <w:rsid w:val="008822FA"/>
    <w:rsid w:val="00976CAB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>SACC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2020-03-02T14:33:00Z</dcterms:created>
  <dcterms:modified xsi:type="dcterms:W3CDTF">2020-03-02T14:40:00Z</dcterms:modified>
</cp:coreProperties>
</file>