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F4142F" w:rsidRPr="00F4142F" w:rsidRDefault="00F4142F" w:rsidP="00F4142F">
      <w:pPr>
        <w:tabs>
          <w:tab w:val="right" w:pos="8460"/>
        </w:tabs>
        <w:bidi/>
        <w:jc w:val="center"/>
        <w:rPr>
          <w:rFonts w:cs="Simplified Arabic" w:hint="cs"/>
          <w:b/>
          <w:bCs/>
          <w:caps/>
          <w:sz w:val="48"/>
          <w:szCs w:val="48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F4142F">
        <w:rPr>
          <w:rFonts w:cs="Simplified Arabic" w:hint="cs"/>
          <w:b/>
          <w:bCs/>
          <w:caps/>
          <w:sz w:val="48"/>
          <w:szCs w:val="48"/>
          <w:u w:val="single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تصميم التطبيقات التعليمية</w:t>
      </w:r>
      <w:bookmarkEnd w:id="0"/>
      <w:r w:rsidRPr="00F4142F">
        <w:rPr>
          <w:rFonts w:cs="Simplified Arabic" w:hint="cs"/>
          <w:b/>
          <w:bCs/>
          <w:caps/>
          <w:sz w:val="48"/>
          <w:szCs w:val="48"/>
          <w:rtl/>
          <w:lang w:bidi="ar-EG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F4142F" w:rsidRDefault="00F4142F" w:rsidP="00F4142F">
      <w:pPr>
        <w:tabs>
          <w:tab w:val="right" w:pos="8460"/>
        </w:tabs>
        <w:bidi/>
        <w:jc w:val="both"/>
        <w:rPr>
          <w:rFonts w:cs="Simplified Arabic" w:hint="cs"/>
          <w:b/>
          <w:bCs/>
          <w:sz w:val="36"/>
          <w:szCs w:val="36"/>
          <w:rtl/>
        </w:rPr>
      </w:pPr>
      <w:proofErr w:type="spellStart"/>
      <w:r w:rsidRPr="00CA412A">
        <w:rPr>
          <w:rFonts w:ascii="Arial" w:hAnsi="Arial" w:hint="cs"/>
          <w:b/>
          <w:bCs/>
          <w:color w:val="7030A0"/>
          <w:sz w:val="32"/>
          <w:szCs w:val="32"/>
          <w:rtl/>
        </w:rPr>
        <w:t>ا.م.د</w:t>
      </w:r>
      <w:proofErr w:type="spellEnd"/>
      <w:r w:rsidRPr="00CA412A">
        <w:rPr>
          <w:rFonts w:ascii="Arial" w:hAnsi="Arial" w:hint="cs"/>
          <w:b/>
          <w:bCs/>
          <w:color w:val="7030A0"/>
          <w:sz w:val="32"/>
          <w:szCs w:val="32"/>
          <w:rtl/>
        </w:rPr>
        <w:t xml:space="preserve">. سهاد جواد الساكني </w:t>
      </w:r>
      <w:r w:rsidRPr="00CA412A">
        <w:rPr>
          <w:rFonts w:ascii="Arial" w:hAnsi="Arial"/>
          <w:b/>
          <w:bCs/>
          <w:color w:val="7030A0"/>
          <w:sz w:val="32"/>
          <w:szCs w:val="32"/>
          <w:rtl/>
        </w:rPr>
        <w:t>–</w:t>
      </w:r>
      <w:r w:rsidRPr="00CA412A">
        <w:rPr>
          <w:rFonts w:ascii="Arial" w:hAnsi="Arial" w:hint="cs"/>
          <w:b/>
          <w:bCs/>
          <w:color w:val="7030A0"/>
          <w:sz w:val="32"/>
          <w:szCs w:val="32"/>
          <w:rtl/>
        </w:rPr>
        <w:t xml:space="preserve"> قسم التربية الاسرية ولامهن الفنية </w:t>
      </w:r>
      <w:r w:rsidRPr="00CA412A">
        <w:rPr>
          <w:rFonts w:ascii="Arial" w:hAnsi="Arial"/>
          <w:b/>
          <w:bCs/>
          <w:color w:val="7030A0"/>
          <w:sz w:val="32"/>
          <w:szCs w:val="32"/>
          <w:rtl/>
        </w:rPr>
        <w:t>–</w:t>
      </w:r>
      <w:r w:rsidRPr="00CA412A">
        <w:rPr>
          <w:rFonts w:ascii="Arial" w:hAnsi="Arial" w:hint="cs"/>
          <w:b/>
          <w:bCs/>
          <w:color w:val="7030A0"/>
          <w:sz w:val="32"/>
          <w:szCs w:val="32"/>
          <w:rtl/>
        </w:rPr>
        <w:t xml:space="preserve"> الدراسات العليا- كلية التربية الاساسية </w:t>
      </w:r>
      <w:r w:rsidRPr="00CA412A">
        <w:rPr>
          <w:rFonts w:ascii="Arial" w:hAnsi="Arial"/>
          <w:b/>
          <w:bCs/>
          <w:color w:val="7030A0"/>
          <w:sz w:val="32"/>
          <w:szCs w:val="32"/>
          <w:rtl/>
        </w:rPr>
        <w:t>–</w:t>
      </w:r>
      <w:r w:rsidRPr="00CA412A">
        <w:rPr>
          <w:rFonts w:ascii="Arial" w:hAnsi="Arial" w:hint="cs"/>
          <w:b/>
          <w:bCs/>
          <w:color w:val="7030A0"/>
          <w:sz w:val="32"/>
          <w:szCs w:val="32"/>
          <w:rtl/>
        </w:rPr>
        <w:t xml:space="preserve"> الجامعة المستنصرية</w:t>
      </w:r>
      <w:r w:rsidRPr="00CA412A">
        <w:rPr>
          <w:rFonts w:ascii="Arial" w:hAnsi="Arial"/>
          <w:b/>
          <w:caps/>
          <w:color w:val="7030A0"/>
          <w:sz w:val="32"/>
          <w:szCs w:val="32"/>
          <w:u w:val="double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/>
      </w:r>
    </w:p>
    <w:p w:rsidR="00F4142F" w:rsidRDefault="00F4142F" w:rsidP="00F4142F">
      <w:pPr>
        <w:tabs>
          <w:tab w:val="right" w:pos="8460"/>
        </w:tabs>
        <w:bidi/>
        <w:jc w:val="both"/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يوضح الشكل التالي معمارية دولية في إطار تصميم التطبيق التعليمي المقترح. ويتداول المستوي الأعلى من الشكل مع نظرية التصميم التعليمي التي تدير مداخل مثل: وحدات المعرفة </w:t>
      </w:r>
      <w:r w:rsidRPr="00780643">
        <w:rPr>
          <w:rFonts w:cs="Simplified Arabic"/>
          <w:b/>
          <w:bCs/>
          <w:sz w:val="22"/>
          <w:szCs w:val="22"/>
          <w:lang w:bidi="ar-EG"/>
        </w:rPr>
        <w:t>Knowledge Objects</w:t>
      </w:r>
      <w:r>
        <w:rPr>
          <w:rFonts w:cs="Simplified Arabic"/>
          <w:b/>
          <w:bCs/>
          <w:sz w:val="22"/>
          <w:szCs w:val="22"/>
          <w:lang w:bidi="ar-EG"/>
        </w:rPr>
        <w:t xml:space="preserve"> (KO)</w:t>
      </w:r>
      <w:r>
        <w:rPr>
          <w:rFonts w:cs="Simplified Arabic" w:hint="cs"/>
          <w:b/>
          <w:bCs/>
          <w:sz w:val="22"/>
          <w:szCs w:val="22"/>
          <w:rtl/>
          <w:lang w:bidi="ar-EG"/>
        </w:rPr>
        <w:t xml:space="preserve"> </w:t>
      </w:r>
      <w:r w:rsidRPr="00780643">
        <w:rPr>
          <w:rFonts w:cs="Simplified Arabic" w:hint="cs"/>
          <w:b/>
          <w:bCs/>
          <w:sz w:val="28"/>
          <w:szCs w:val="28"/>
          <w:rtl/>
          <w:lang w:bidi="ar-EG"/>
        </w:rPr>
        <w:t>،</w:t>
      </w:r>
      <w:r>
        <w:rPr>
          <w:rFonts w:cs="Simplified Arabic" w:hint="cs"/>
          <w:b/>
          <w:bCs/>
          <w:sz w:val="22"/>
          <w:szCs w:val="22"/>
          <w:rtl/>
          <w:lang w:bidi="ar-EG"/>
        </w:rPr>
        <w:t xml:space="preserve"> هياكل المعرفة  </w:t>
      </w:r>
      <w:r>
        <w:rPr>
          <w:rFonts w:cs="Simplified Arabic"/>
          <w:b/>
          <w:bCs/>
          <w:sz w:val="22"/>
          <w:szCs w:val="22"/>
          <w:lang w:bidi="ar-EG"/>
        </w:rPr>
        <w:t>Knowledge Structures (KS)</w:t>
      </w:r>
      <w:r>
        <w:rPr>
          <w:rFonts w:cs="Simplified Arabic" w:hint="cs"/>
          <w:b/>
          <w:bCs/>
          <w:sz w:val="22"/>
          <w:szCs w:val="22"/>
          <w:rtl/>
          <w:lang w:bidi="ar-EG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، وبرمجيات التصرف الإبداعية </w:t>
      </w:r>
      <w:r>
        <w:rPr>
          <w:rFonts w:cs="Simplified Arabic"/>
          <w:b/>
          <w:bCs/>
          <w:sz w:val="22"/>
          <w:szCs w:val="22"/>
          <w:lang w:bidi="ar-EG"/>
        </w:rPr>
        <w:t>Innovative Transaction Shells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.وطبقا لنظرية التصرف التعليمي لميريل </w:t>
      </w:r>
      <w:r>
        <w:rPr>
          <w:rFonts w:cs="Simplified Arabic"/>
          <w:b/>
          <w:bCs/>
          <w:sz w:val="22"/>
          <w:szCs w:val="22"/>
          <w:lang w:bidi="ar-EG"/>
        </w:rPr>
        <w:t>Merrill</w:t>
      </w:r>
      <w:r>
        <w:rPr>
          <w:rFonts w:cs="Simplified Arabic" w:hint="cs"/>
          <w:b/>
          <w:bCs/>
          <w:sz w:val="22"/>
          <w:szCs w:val="22"/>
          <w:rtl/>
          <w:lang w:bidi="ar-EG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تعرف وحدات المعرفة بأنها تعتبر تمثيلات معرفة خارجية تتوازى مع النماذج العقلية </w:t>
      </w:r>
      <w:r>
        <w:rPr>
          <w:rFonts w:cs="Simplified Arabic"/>
          <w:b/>
          <w:bCs/>
          <w:sz w:val="22"/>
          <w:szCs w:val="22"/>
          <w:lang w:bidi="ar-EG"/>
        </w:rPr>
        <w:t>Mental Models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التي هي بدورها تمثيلات نماذج معرفية. وتشتمل برمجيات التصرف </w:t>
      </w:r>
      <w:r>
        <w:rPr>
          <w:rFonts w:cs="Simplified Arabic"/>
          <w:b/>
          <w:bCs/>
          <w:sz w:val="22"/>
          <w:szCs w:val="22"/>
          <w:lang w:bidi="ar-EG"/>
        </w:rPr>
        <w:t>Transaction Shells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علي قواعد لاختيار وتتابع وحدات المعرفة. وتفسر هذه المداخل المختلفة في نموذج ميريل كأساس للمستوي التالي (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EG"/>
        </w:rPr>
        <w:t>نمذجة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التصميم التعليمي) الذي يعتبر المستوي المركزي ويتصف بنموذج تربوي حيث تمتد مكوناته إلي النماذج السابقة بالتبعية. ويتشكل النموذج الهيكلي</w:t>
      </w:r>
      <w:r w:rsidRPr="00B43EDF">
        <w:rPr>
          <w:rFonts w:cs="Simplified Arabic"/>
          <w:b/>
          <w:bCs/>
          <w:sz w:val="22"/>
          <w:szCs w:val="22"/>
          <w:lang w:bidi="ar-EG"/>
        </w:rPr>
        <w:t xml:space="preserve">Structural Model </w:t>
      </w:r>
      <w:r w:rsidRPr="00B43EDF">
        <w:rPr>
          <w:rFonts w:cs="Simplified Arabic" w:hint="cs"/>
          <w:b/>
          <w:bCs/>
          <w:sz w:val="22"/>
          <w:szCs w:val="22"/>
          <w:rtl/>
          <w:lang w:bidi="ar-EG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من الوحدات التعليمية النابعة من وحدات المعرفة والهياكل التربوية التي توسع هياكل المعرفة. ويبني النموذج الوظيفي </w:t>
      </w:r>
      <w:r>
        <w:rPr>
          <w:rFonts w:cs="Simplified Arabic"/>
          <w:b/>
          <w:bCs/>
          <w:sz w:val="22"/>
          <w:szCs w:val="22"/>
          <w:lang w:bidi="ar-EG"/>
        </w:rPr>
        <w:t>Functional Model</w:t>
      </w:r>
      <w:r>
        <w:rPr>
          <w:rFonts w:cs="Simplified Arabic" w:hint="cs"/>
          <w:b/>
          <w:bCs/>
          <w:sz w:val="22"/>
          <w:szCs w:val="22"/>
          <w:rtl/>
          <w:lang w:bidi="ar-EG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علي المهام التعليمية </w:t>
      </w:r>
      <w:proofErr w:type="spellStart"/>
      <w:r>
        <w:rPr>
          <w:rFonts w:cs="Simplified Arabic"/>
          <w:b/>
          <w:bCs/>
          <w:sz w:val="22"/>
          <w:szCs w:val="22"/>
          <w:lang w:bidi="ar-EG"/>
        </w:rPr>
        <w:t>Instructural</w:t>
      </w:r>
      <w:proofErr w:type="spellEnd"/>
      <w:r>
        <w:rPr>
          <w:rFonts w:cs="Simplified Arabic"/>
          <w:b/>
          <w:bCs/>
          <w:sz w:val="22"/>
          <w:szCs w:val="22"/>
          <w:lang w:bidi="ar-EG"/>
        </w:rPr>
        <w:t xml:space="preserve"> Skills </w:t>
      </w:r>
      <w:r>
        <w:rPr>
          <w:rFonts w:cs="Simplified Arabic" w:hint="cs"/>
          <w:b/>
          <w:bCs/>
          <w:sz w:val="22"/>
          <w:szCs w:val="22"/>
          <w:rtl/>
          <w:lang w:bidi="ar-EG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وسيناريوهات التعلم </w:t>
      </w:r>
      <w:r>
        <w:rPr>
          <w:rFonts w:cs="Simplified Arabic"/>
          <w:b/>
          <w:bCs/>
          <w:sz w:val="22"/>
          <w:szCs w:val="22"/>
          <w:lang w:bidi="ar-EG"/>
        </w:rPr>
        <w:t>Learning Scenarios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.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EG"/>
        </w:rPr>
        <w:t>وترقييم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لغة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EG"/>
        </w:rPr>
        <w:t>النمذجة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التربوية </w:t>
      </w:r>
      <w:r>
        <w:rPr>
          <w:rFonts w:cs="Simplified Arabic"/>
          <w:b/>
          <w:bCs/>
          <w:sz w:val="22"/>
          <w:szCs w:val="22"/>
          <w:lang w:bidi="ar-EG"/>
        </w:rPr>
        <w:t>EML</w:t>
      </w:r>
      <w:r>
        <w:rPr>
          <w:rFonts w:cs="Simplified Arabic" w:hint="cs"/>
          <w:b/>
          <w:bCs/>
          <w:sz w:val="22"/>
          <w:szCs w:val="22"/>
          <w:rtl/>
          <w:lang w:bidi="ar-EG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>يصمم لتحديد كل من المكونات الهيكلية والوظيفية معا.</w:t>
      </w:r>
    </w:p>
    <w:p w:rsidR="00F4142F" w:rsidRDefault="00F4142F" w:rsidP="00F41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460"/>
        </w:tabs>
        <w:bidi/>
        <w:jc w:val="both"/>
        <w:rPr>
          <w:rFonts w:cs="Simplified Arabic" w:hint="cs"/>
          <w:b/>
          <w:bCs/>
          <w:sz w:val="28"/>
          <w:szCs w:val="28"/>
          <w:rtl/>
          <w:lang w:bidi="ar-EG"/>
        </w:rPr>
      </w:pPr>
    </w:p>
    <w:p w:rsidR="00F4142F" w:rsidRPr="00714754" w:rsidRDefault="00F4142F" w:rsidP="00F41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6064"/>
          <w:tab w:val="right" w:pos="8460"/>
        </w:tabs>
        <w:bidi/>
        <w:jc w:val="both"/>
        <w:rPr>
          <w:rFonts w:cs="Simplified Arabic"/>
          <w:b/>
          <w:bCs/>
          <w:sz w:val="28"/>
          <w:szCs w:val="28"/>
          <w:rtl/>
          <w:lang w:bidi="ar-EG"/>
        </w:rPr>
      </w:pPr>
      <w:r>
        <w:rPr>
          <w:rFonts w:cs="Simplified Arabic"/>
          <w:b/>
          <w:bCs/>
          <w:noProof/>
          <w:sz w:val="28"/>
          <w:szCs w:val="28"/>
          <w:rtl/>
        </w:rPr>
        <w:lastRenderedPageBreak/>
        <mc:AlternateContent>
          <mc:Choice Requires="wpc">
            <w:drawing>
              <wp:inline distT="0" distB="0" distL="0" distR="0">
                <wp:extent cx="5486400" cy="3086100"/>
                <wp:effectExtent l="0" t="10795" r="0" b="0"/>
                <wp:docPr id="13" name="لوحة قماشي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771900" y="228600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142F" w:rsidRPr="00116CC5" w:rsidRDefault="00F4142F" w:rsidP="00F4142F">
                              <w:pPr>
                                <w:bidi/>
                                <w:jc w:val="both"/>
                                <w:rPr>
                                  <w:rFonts w:hint="cs"/>
                                  <w:b/>
                                  <w:bCs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نظرية التصميم التعليمي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771900" y="1028700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142F" w:rsidRPr="00116CC5" w:rsidRDefault="00F4142F" w:rsidP="00F4142F">
                              <w:pPr>
                                <w:bidi/>
                                <w:jc w:val="both"/>
                                <w:rPr>
                                  <w:rFonts w:hint="cs"/>
                                  <w:b/>
                                  <w:bCs/>
                                  <w:lang w:bidi="ar-EG"/>
                                </w:rPr>
                              </w:pPr>
                              <w:proofErr w:type="spellStart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نمذجة</w:t>
                              </w:r>
                              <w:proofErr w:type="spellEnd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 التصميم التعليمي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771900" y="1600200"/>
                            <a:ext cx="1371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142F" w:rsidRPr="00116CC5" w:rsidRDefault="00F4142F" w:rsidP="00F4142F">
                              <w:pPr>
                                <w:bidi/>
                                <w:jc w:val="both"/>
                                <w:rPr>
                                  <w:rFonts w:hint="cs"/>
                                  <w:b/>
                                  <w:bCs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تصميم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الهيبرميديا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57600" y="2286000"/>
                            <a:ext cx="14859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142F" w:rsidRPr="00116CC5" w:rsidRDefault="00F4142F" w:rsidP="00F4142F">
                              <w:pPr>
                                <w:bidi/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lang w:bidi="ar-EG"/>
                                </w:rPr>
                              </w:pPr>
                              <w:r w:rsidRPr="00116CC5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EG"/>
                                </w:rPr>
                                <w:t>هندسة منصة التعلم الإلكتروني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257300" y="0"/>
                            <a:ext cx="1371600" cy="800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4142F" w:rsidRPr="000C5C22" w:rsidRDefault="00F4142F" w:rsidP="00F4142F">
                              <w:pPr>
                                <w:bidi/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EG"/>
                                </w:rPr>
                              </w:pPr>
                              <w:r w:rsidRPr="000C5C22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EG"/>
                                </w:rPr>
                                <w:t>وحدات المعرفة، هياكل المعرفة، التصرفات التعليمية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371600" y="685800"/>
                            <a:ext cx="1485900" cy="800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4142F" w:rsidRPr="005A289C" w:rsidRDefault="00F4142F" w:rsidP="00F4142F">
                              <w:pPr>
                                <w:bidi/>
                                <w:jc w:val="both"/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EG"/>
                                </w:rPr>
                              </w:pPr>
                              <w:r w:rsidRPr="005A289C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EG"/>
                                </w:rPr>
                                <w:t xml:space="preserve">وحدات التعلم، الهياكل التربوية </w:t>
                              </w:r>
                              <w:r w:rsidRPr="005A289C">
                                <w:rPr>
                                  <w:b/>
                                  <w:bCs/>
                                  <w:sz w:val="18"/>
                                  <w:szCs w:val="18"/>
                                  <w:lang w:bidi="ar-EG"/>
                                </w:rPr>
                                <w:t>Didactic</w:t>
                              </w:r>
                              <w:r w:rsidRPr="005A289C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EG"/>
                                </w:rPr>
                                <w:t>، المهام التعليمية، مهام القائمين علي التعلم، سيناريوهات التعلم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485900" y="1485900"/>
                            <a:ext cx="1485900" cy="5715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4142F" w:rsidRPr="000C5C22" w:rsidRDefault="00F4142F" w:rsidP="00F4142F">
                              <w:pPr>
                                <w:bidi/>
                                <w:jc w:val="center"/>
                                <w:rPr>
                                  <w:b/>
                                  <w:bCs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نماذج </w:t>
                              </w:r>
                              <w:proofErr w:type="spellStart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الهيبرميديا</w:t>
                              </w:r>
                              <w:proofErr w:type="spellEnd"/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lang w:bidi="ar-EG"/>
                                </w:rPr>
                                <w:t>Hypermedia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371600" y="2057400"/>
                            <a:ext cx="1714500" cy="685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4142F" w:rsidRPr="000C5C22" w:rsidRDefault="00F4142F" w:rsidP="00F4142F">
                              <w:pPr>
                                <w:bidi/>
                                <w:jc w:val="center"/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EG"/>
                                </w:rPr>
                                <w:t>تطبيقات الويب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/>
                        <wps:spPr bwMode="auto">
                          <a:xfrm flipH="1">
                            <a:off x="2628900" y="457200"/>
                            <a:ext cx="1143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 flipH="1" flipV="1">
                            <a:off x="2857500" y="1143000"/>
                            <a:ext cx="9144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 flipH="1">
                            <a:off x="2971800" y="1828800"/>
                            <a:ext cx="800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 flipH="1" flipV="1">
                            <a:off x="3086100" y="2400300"/>
                            <a:ext cx="5715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لوحة قماشية 13" o:spid="_x0000_s1026" editas="canvas" style="width:6in;height:243pt;mso-position-horizontal-relative:char;mso-position-vertical-relative:line" coordsize="54864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0861;visibility:visible;mso-wrap-style:square">
                  <v:fill o:detectmouseclick="t"/>
                  <v:path o:connecttype="none"/>
                </v:shape>
                <v:rect id="Rectangle 4" o:spid="_x0000_s1028" style="position:absolute;left:37719;top:2286;width:1371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F4142F" w:rsidRPr="00116CC5" w:rsidRDefault="00F4142F" w:rsidP="00F4142F">
                        <w:pPr>
                          <w:bidi/>
                          <w:jc w:val="both"/>
                          <w:rPr>
                            <w:rFonts w:hint="cs"/>
                            <w:b/>
                            <w:bCs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نظرية التصميم التعليمي</w:t>
                        </w:r>
                      </w:p>
                    </w:txbxContent>
                  </v:textbox>
                </v:rect>
                <v:rect id="Rectangle 5" o:spid="_x0000_s1029" style="position:absolute;left:37719;top:10287;width:1371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F4142F" w:rsidRPr="00116CC5" w:rsidRDefault="00F4142F" w:rsidP="00F4142F">
                        <w:pPr>
                          <w:bidi/>
                          <w:jc w:val="both"/>
                          <w:rPr>
                            <w:rFonts w:hint="cs"/>
                            <w:b/>
                            <w:bCs/>
                            <w:lang w:bidi="ar-EG"/>
                          </w:rPr>
                        </w:pP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نمذجة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التصميم التعليمي</w:t>
                        </w:r>
                      </w:p>
                    </w:txbxContent>
                  </v:textbox>
                </v:rect>
                <v:rect id="Rectangle 6" o:spid="_x0000_s1030" style="position:absolute;left:37719;top:16002;width:1371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F4142F" w:rsidRPr="00116CC5" w:rsidRDefault="00F4142F" w:rsidP="00F4142F">
                        <w:pPr>
                          <w:bidi/>
                          <w:jc w:val="both"/>
                          <w:rPr>
                            <w:rFonts w:hint="cs"/>
                            <w:b/>
                            <w:bCs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تصميم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الهيبرميديا</w:t>
                        </w:r>
                        <w:proofErr w:type="spellEnd"/>
                      </w:p>
                    </w:txbxContent>
                  </v:textbox>
                </v:rect>
                <v:rect id="Rectangle 7" o:spid="_x0000_s1031" style="position:absolute;left:36576;top:22860;width:1485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F4142F" w:rsidRPr="00116CC5" w:rsidRDefault="00F4142F" w:rsidP="00F4142F">
                        <w:pPr>
                          <w:bidi/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lang w:bidi="ar-EG"/>
                          </w:rPr>
                        </w:pPr>
                        <w:r w:rsidRPr="00116CC5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EG"/>
                          </w:rPr>
                          <w:t>هندسة منصة التعلم الإلكتروني</w:t>
                        </w:r>
                      </w:p>
                    </w:txbxContent>
                  </v:textbox>
                </v:rect>
                <v:oval id="Oval 8" o:spid="_x0000_s1032" style="position:absolute;left:12573;width:13716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>
                  <v:textbox>
                    <w:txbxContent>
                      <w:p w:rsidR="00F4142F" w:rsidRPr="000C5C22" w:rsidRDefault="00F4142F" w:rsidP="00F4142F">
                        <w:pPr>
                          <w:bidi/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EG"/>
                          </w:rPr>
                        </w:pPr>
                        <w:r w:rsidRPr="000C5C22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EG"/>
                          </w:rPr>
                          <w:t>وحدات المعرفة، هياكل المعرفة، التصرفات التعليمية</w:t>
                        </w:r>
                      </w:p>
                    </w:txbxContent>
                  </v:textbox>
                </v:oval>
                <v:oval id="Oval 9" o:spid="_x0000_s1033" style="position:absolute;left:13716;top:6858;width:14859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>
                  <v:textbox>
                    <w:txbxContent>
                      <w:p w:rsidR="00F4142F" w:rsidRPr="005A289C" w:rsidRDefault="00F4142F" w:rsidP="00F4142F">
                        <w:pPr>
                          <w:bidi/>
                          <w:jc w:val="both"/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EG"/>
                          </w:rPr>
                        </w:pPr>
                        <w:r w:rsidRPr="005A289C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EG"/>
                          </w:rPr>
                          <w:t xml:space="preserve">وحدات التعلم، الهياكل التربوية </w:t>
                        </w:r>
                        <w:r w:rsidRPr="005A289C">
                          <w:rPr>
                            <w:b/>
                            <w:bCs/>
                            <w:sz w:val="18"/>
                            <w:szCs w:val="18"/>
                            <w:lang w:bidi="ar-EG"/>
                          </w:rPr>
                          <w:t>Didactic</w:t>
                        </w:r>
                        <w:r w:rsidRPr="005A289C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EG"/>
                          </w:rPr>
                          <w:t>، المهام التعليمية، مهام القائمين علي التعلم، سيناريوهات التعلم</w:t>
                        </w:r>
                      </w:p>
                    </w:txbxContent>
                  </v:textbox>
                </v:oval>
                <v:oval id="Oval 10" o:spid="_x0000_s1034" style="position:absolute;left:14859;top:14859;width:1485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>
                  <v:textbox>
                    <w:txbxContent>
                      <w:p w:rsidR="00F4142F" w:rsidRPr="000C5C22" w:rsidRDefault="00F4142F" w:rsidP="00F4142F">
                        <w:pPr>
                          <w:bidi/>
                          <w:jc w:val="center"/>
                          <w:rPr>
                            <w:b/>
                            <w:bCs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نماذج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الهيبرميديا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lang w:bidi="ar-EG"/>
                          </w:rPr>
                          <w:t>Hypermedia</w:t>
                        </w:r>
                      </w:p>
                    </w:txbxContent>
                  </v:textbox>
                </v:oval>
                <v:oval id="Oval 11" o:spid="_x0000_s1035" style="position:absolute;left:13716;top:20574;width:1714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>
                  <v:textbox>
                    <w:txbxContent>
                      <w:p w:rsidR="00F4142F" w:rsidRPr="000C5C22" w:rsidRDefault="00F4142F" w:rsidP="00F4142F">
                        <w:pPr>
                          <w:bidi/>
                          <w:jc w:val="center"/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EG"/>
                          </w:rPr>
                          <w:t>تطبيقات الويب</w:t>
                        </w:r>
                      </w:p>
                    </w:txbxContent>
                  </v:textbox>
                </v:oval>
                <v:line id="Line 12" o:spid="_x0000_s1036" style="position:absolute;flip:x;visibility:visible;mso-wrap-style:square" from="26289,4572" to="37719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<v:line id="Line 13" o:spid="_x0000_s1037" style="position:absolute;flip:x y;visibility:visible;mso-wrap-style:square" from="28575,11430" to="37719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2AiMQAAADbAAAADwAAAGRycy9kb3ducmV2LnhtbESPT2vCQBDF74V+h2WEXkrdqKVIzCpS&#10;aPGkVFu8DtnJH8zOhuzWRD+9cxC8zfDevPebbDW4Rp2pC7VnA5NxAoo497bm0sDv4ettDipEZIuN&#10;ZzJwoQCr5fNThqn1Pf/QeR9LJSEcUjRQxdimWoe8Iodh7Fti0QrfOYyydqW2HfYS7ho9TZIP7bBm&#10;aaiwpc+K8tP+3xlA3l5n835C7/qbjmG63b2u/wpjXkbDegEq0hAf5vv1xgq+0MsvMoBe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TYCIxAAAANsAAAAPAAAAAAAAAAAA&#10;AAAAAKECAABkcnMvZG93bnJldi54bWxQSwUGAAAAAAQABAD5AAAAkgMAAAAA&#10;"/>
                <v:line id="Line 14" o:spid="_x0000_s1038" style="position:absolute;flip:x;visibility:visible;mso-wrap-style:square" from="29718,18288" to="37719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<v:line id="Line 15" o:spid="_x0000_s1039" style="position:absolute;flip:x y;visibility:visible;mso-wrap-style:square" from="30861,24003" to="36576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O7ZMAAAADbAAAADwAAAGRycy9kb3ducmV2LnhtbERPTYvCMBC9C/6HMIIX0dS6iFSjiLDi&#10;SVlX8To0Y1tsJqXJ2uqvN4Kwt3m8z1msWlOKO9WusKxgPIpAEKdWF5wpOP1+D2cgnEfWWFomBQ9y&#10;sFp2OwtMtG34h+5Hn4kQwi5BBbn3VSKlS3My6Ea2Ig7c1dYGfYB1JnWNTQg3pYyjaCoNFhwacqxo&#10;k1N6O/4ZBcj752TWjOlLbuni4v1hsD5fler32vUchKfW/4s/7p0O82N4/xIO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jTu2TAAAAA2wAAAA8AAAAAAAAAAAAAAAAA&#10;oQIAAGRycy9kb3ducmV2LnhtbFBLBQYAAAAABAAEAPkAAACOAwAAAAA=&#10;"/>
                <w10:wrap anchorx="page"/>
                <w10:anchorlock/>
              </v:group>
            </w:pict>
          </mc:Fallback>
        </mc:AlternateConten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:rsidR="00F4142F" w:rsidRDefault="00F4142F" w:rsidP="00F4142F">
      <w:pPr>
        <w:bidi/>
        <w:jc w:val="center"/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شكل (1): معمارية تصميم التطبيق التعليمي</w:t>
      </w:r>
    </w:p>
    <w:p w:rsidR="00F4142F" w:rsidRDefault="00F4142F" w:rsidP="00F4142F">
      <w:pPr>
        <w:bidi/>
        <w:jc w:val="both"/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وسوف يتعرض القسم التالي من هذا العمل بوسف متعمق بالمستويين التعليميين الذين يتداولان مع التنفيذ الكمبيوتري للتطبيقات التعليمية. والمستوي الأول منهما مبني علي نموذج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EG"/>
        </w:rPr>
        <w:t>الهيبرميديا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لعرض المداخل التعليمية وتحديد علاقاتها في ترقيم مجرد رسمي </w:t>
      </w:r>
      <w:r>
        <w:rPr>
          <w:rFonts w:cs="Simplified Arabic"/>
          <w:b/>
          <w:bCs/>
          <w:sz w:val="22"/>
          <w:szCs w:val="22"/>
          <w:lang w:bidi="ar-EG"/>
        </w:rPr>
        <w:t>[</w:t>
      </w:r>
      <w:proofErr w:type="spellStart"/>
      <w:r>
        <w:rPr>
          <w:rFonts w:cs="Simplified Arabic"/>
          <w:b/>
          <w:bCs/>
          <w:sz w:val="22"/>
          <w:szCs w:val="22"/>
          <w:lang w:bidi="ar-EG"/>
        </w:rPr>
        <w:t>Buendia</w:t>
      </w:r>
      <w:proofErr w:type="spellEnd"/>
      <w:r>
        <w:rPr>
          <w:rFonts w:cs="Simplified Arabic"/>
          <w:b/>
          <w:bCs/>
          <w:sz w:val="22"/>
          <w:szCs w:val="22"/>
          <w:lang w:bidi="ar-EG"/>
        </w:rPr>
        <w:t xml:space="preserve"> et al, 2001]</w:t>
      </w:r>
      <w:r>
        <w:rPr>
          <w:rFonts w:cs="Simplified Arabic" w:hint="cs"/>
          <w:b/>
          <w:bCs/>
          <w:rtl/>
          <w:lang w:bidi="ar-EG"/>
        </w:rPr>
        <w:t xml:space="preserve">؛ </w:t>
      </w:r>
      <w:r w:rsidRPr="005A289C">
        <w:rPr>
          <w:rFonts w:cs="Simplified Arabic" w:hint="cs"/>
          <w:b/>
          <w:bCs/>
          <w:sz w:val="28"/>
          <w:szCs w:val="28"/>
          <w:rtl/>
          <w:lang w:bidi="ar-EG"/>
        </w:rPr>
        <w:t>أما المستوي الذي يلي ذلك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فيرتبط بالتكنولوجيا المتضمنة في إمداد التطبيقات التعليمية المستخدمة في بيئة التعلم الإلكتروني.</w:t>
      </w:r>
    </w:p>
    <w:p w:rsidR="00F4142F" w:rsidRDefault="00F4142F" w:rsidP="00F4142F">
      <w:pPr>
        <w:bidi/>
        <w:jc w:val="both"/>
        <w:rPr>
          <w:rFonts w:cs="Simplified Arabic" w:hint="cs"/>
          <w:b/>
          <w:bCs/>
          <w:sz w:val="36"/>
          <w:szCs w:val="36"/>
          <w:rtl/>
          <w:lang w:bidi="ar-EG"/>
        </w:rPr>
      </w:pPr>
      <w:r>
        <w:rPr>
          <w:rFonts w:cs="Simplified Arabic" w:hint="cs"/>
          <w:b/>
          <w:bCs/>
          <w:sz w:val="36"/>
          <w:szCs w:val="36"/>
          <w:u w:val="single"/>
          <w:rtl/>
          <w:lang w:bidi="ar-EG"/>
        </w:rPr>
        <w:t>المراجع</w:t>
      </w:r>
      <w:r>
        <w:rPr>
          <w:rFonts w:cs="Simplified Arabic" w:hint="cs"/>
          <w:b/>
          <w:bCs/>
          <w:sz w:val="36"/>
          <w:szCs w:val="36"/>
          <w:rtl/>
          <w:lang w:bidi="ar-EG"/>
        </w:rPr>
        <w:t>:</w:t>
      </w:r>
    </w:p>
    <w:p w:rsidR="00F4142F" w:rsidRDefault="00F4142F" w:rsidP="00F4142F">
      <w:pPr>
        <w:numPr>
          <w:ilvl w:val="0"/>
          <w:numId w:val="1"/>
        </w:numPr>
        <w:rPr>
          <w:rFonts w:cs="Andalus"/>
          <w:b/>
          <w:bCs/>
          <w:sz w:val="22"/>
          <w:szCs w:val="22"/>
          <w:lang w:bidi="ar-EG"/>
        </w:rPr>
      </w:pPr>
      <w:proofErr w:type="spellStart"/>
      <w:r>
        <w:rPr>
          <w:rFonts w:cs="Andalus"/>
          <w:b/>
          <w:bCs/>
          <w:sz w:val="22"/>
          <w:szCs w:val="22"/>
          <w:lang w:bidi="ar-EG"/>
        </w:rPr>
        <w:t>Buendia</w:t>
      </w:r>
      <w:proofErr w:type="spellEnd"/>
      <w:r>
        <w:rPr>
          <w:rFonts w:cs="Andalus"/>
          <w:b/>
          <w:bCs/>
          <w:sz w:val="22"/>
          <w:szCs w:val="22"/>
          <w:lang w:bidi="ar-EG"/>
        </w:rPr>
        <w:t xml:space="preserve">, F., et al [2001]. XEDU: A framework for developing XML-based didactic resources. </w:t>
      </w:r>
      <w:proofErr w:type="spellStart"/>
      <w:r>
        <w:rPr>
          <w:rFonts w:cs="Andalus"/>
          <w:b/>
          <w:bCs/>
          <w:sz w:val="22"/>
          <w:szCs w:val="22"/>
          <w:lang w:bidi="ar-EG"/>
        </w:rPr>
        <w:t>Subted</w:t>
      </w:r>
      <w:proofErr w:type="spellEnd"/>
      <w:r>
        <w:rPr>
          <w:rFonts w:cs="Andalus"/>
          <w:b/>
          <w:bCs/>
          <w:sz w:val="22"/>
          <w:szCs w:val="22"/>
          <w:lang w:bidi="ar-EG"/>
        </w:rPr>
        <w:t xml:space="preserve"> to: </w:t>
      </w:r>
      <w:proofErr w:type="spellStart"/>
      <w:r>
        <w:rPr>
          <w:rFonts w:cs="Andalus"/>
          <w:b/>
          <w:bCs/>
          <w:sz w:val="22"/>
          <w:szCs w:val="22"/>
          <w:lang w:bidi="ar-EG"/>
        </w:rPr>
        <w:t>EuroMicro</w:t>
      </w:r>
      <w:proofErr w:type="spellEnd"/>
      <w:r>
        <w:rPr>
          <w:rFonts w:cs="Andalus"/>
          <w:b/>
          <w:bCs/>
          <w:sz w:val="22"/>
          <w:szCs w:val="22"/>
          <w:lang w:bidi="ar-EG"/>
        </w:rPr>
        <w:t>’ 01, pp. 427-434.</w:t>
      </w:r>
    </w:p>
    <w:p w:rsidR="00F4142F" w:rsidRDefault="00F4142F" w:rsidP="00F4142F">
      <w:pPr>
        <w:numPr>
          <w:ilvl w:val="0"/>
          <w:numId w:val="1"/>
        </w:numPr>
        <w:rPr>
          <w:rFonts w:cs="Andalus"/>
          <w:b/>
          <w:bCs/>
          <w:sz w:val="22"/>
          <w:szCs w:val="22"/>
          <w:lang w:bidi="ar-EG"/>
        </w:rPr>
      </w:pPr>
      <w:r>
        <w:rPr>
          <w:rFonts w:cs="Andalus"/>
          <w:b/>
          <w:bCs/>
          <w:sz w:val="22"/>
          <w:szCs w:val="22"/>
          <w:lang w:bidi="ar-EG"/>
        </w:rPr>
        <w:t xml:space="preserve">Duval, E. [2001]. Standardized\metadata for education: A status report. In: Proceedings of ED-MEDIA 2001,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cs="Andalus"/>
              <w:b/>
              <w:bCs/>
              <w:sz w:val="22"/>
              <w:szCs w:val="22"/>
              <w:lang w:bidi="ar-EG"/>
            </w:rPr>
            <w:t>Tempere</w:t>
          </w:r>
        </w:smartTag>
        <w:proofErr w:type="spellEnd"/>
        <w:r>
          <w:rPr>
            <w:rFonts w:cs="Andalus"/>
            <w:b/>
            <w:bCs/>
            <w:sz w:val="22"/>
            <w:szCs w:val="22"/>
            <w:lang w:bidi="ar-EG"/>
          </w:rPr>
          <w:t xml:space="preserve">, </w:t>
        </w:r>
        <w:smartTag w:uri="urn:schemas-microsoft-com:office:smarttags" w:element="country-region">
          <w:r>
            <w:rPr>
              <w:rFonts w:cs="Andalus"/>
              <w:b/>
              <w:bCs/>
              <w:sz w:val="22"/>
              <w:szCs w:val="22"/>
              <w:lang w:bidi="ar-EG"/>
            </w:rPr>
            <w:t>Finland</w:t>
          </w:r>
        </w:smartTag>
      </w:smartTag>
      <w:r>
        <w:rPr>
          <w:rFonts w:cs="Andalus"/>
          <w:b/>
          <w:bCs/>
          <w:sz w:val="22"/>
          <w:szCs w:val="22"/>
          <w:lang w:bidi="ar-EG"/>
        </w:rPr>
        <w:t>, pp. 458-463.</w:t>
      </w:r>
    </w:p>
    <w:p w:rsidR="00F4142F" w:rsidRDefault="00F4142F" w:rsidP="00F4142F">
      <w:pPr>
        <w:numPr>
          <w:ilvl w:val="0"/>
          <w:numId w:val="1"/>
        </w:numPr>
        <w:rPr>
          <w:rFonts w:cs="Andalus"/>
          <w:b/>
          <w:bCs/>
          <w:sz w:val="22"/>
          <w:szCs w:val="22"/>
          <w:lang w:bidi="ar-EG"/>
        </w:rPr>
      </w:pPr>
      <w:r>
        <w:rPr>
          <w:rFonts w:cs="Andalus"/>
          <w:b/>
          <w:bCs/>
          <w:sz w:val="22"/>
          <w:szCs w:val="22"/>
          <w:lang w:bidi="ar-EG"/>
        </w:rPr>
        <w:t>Koper, R. [2001]. Modeling units of study from a pedagogical perspective: The pedagogical meta-model behind EML. [http://eml.ou.nl/introduction/docs/ped-metamodel.pdf]</w:t>
      </w:r>
    </w:p>
    <w:p w:rsidR="00F4142F" w:rsidRDefault="00F4142F" w:rsidP="00F4142F">
      <w:pPr>
        <w:numPr>
          <w:ilvl w:val="0"/>
          <w:numId w:val="1"/>
        </w:numPr>
        <w:rPr>
          <w:rFonts w:cs="Andalus"/>
          <w:b/>
          <w:bCs/>
          <w:sz w:val="22"/>
          <w:szCs w:val="22"/>
          <w:lang w:bidi="ar-EG"/>
        </w:rPr>
      </w:pPr>
      <w:r>
        <w:rPr>
          <w:rFonts w:cs="Andalus"/>
          <w:b/>
          <w:bCs/>
          <w:sz w:val="22"/>
          <w:szCs w:val="22"/>
          <w:lang w:bidi="ar-EG"/>
        </w:rPr>
        <w:t xml:space="preserve">Merrill, M. D. &amp; ID2 Research Team [1996]. Instructional transaction theory: Instructional design based on knowledge objects, </w:t>
      </w:r>
      <w:r>
        <w:rPr>
          <w:rFonts w:cs="Andalus"/>
          <w:b/>
          <w:bCs/>
          <w:sz w:val="22"/>
          <w:szCs w:val="22"/>
          <w:u w:val="single"/>
          <w:lang w:bidi="ar-EG"/>
        </w:rPr>
        <w:t>Educational Technology,</w:t>
      </w:r>
      <w:r>
        <w:rPr>
          <w:rFonts w:cs="Andalus"/>
          <w:b/>
          <w:bCs/>
          <w:sz w:val="22"/>
          <w:szCs w:val="22"/>
          <w:lang w:bidi="ar-EG"/>
        </w:rPr>
        <w:t xml:space="preserve"> Vol. 36, No. 3, pp. 30-37.</w:t>
      </w:r>
    </w:p>
    <w:p w:rsidR="00F4142F" w:rsidRDefault="00F4142F" w:rsidP="00F4142F">
      <w:pPr>
        <w:numPr>
          <w:ilvl w:val="0"/>
          <w:numId w:val="1"/>
        </w:numPr>
        <w:rPr>
          <w:rFonts w:cs="Andalus"/>
          <w:b/>
          <w:bCs/>
          <w:sz w:val="22"/>
          <w:szCs w:val="22"/>
          <w:lang w:bidi="ar-EG"/>
        </w:rPr>
      </w:pPr>
      <w:r>
        <w:rPr>
          <w:rFonts w:cs="Andalus"/>
          <w:b/>
          <w:bCs/>
          <w:sz w:val="22"/>
          <w:szCs w:val="22"/>
          <w:lang w:bidi="ar-EG"/>
        </w:rPr>
        <w:t>Rodriguez-</w:t>
      </w:r>
      <w:proofErr w:type="spellStart"/>
      <w:r>
        <w:rPr>
          <w:rFonts w:cs="Andalus"/>
          <w:b/>
          <w:bCs/>
          <w:sz w:val="22"/>
          <w:szCs w:val="22"/>
          <w:lang w:bidi="ar-EG"/>
        </w:rPr>
        <w:t>Artacho</w:t>
      </w:r>
      <w:proofErr w:type="spellEnd"/>
      <w:r>
        <w:rPr>
          <w:rFonts w:cs="Andalus"/>
          <w:b/>
          <w:bCs/>
          <w:sz w:val="22"/>
          <w:szCs w:val="22"/>
          <w:lang w:bidi="ar-EG"/>
        </w:rPr>
        <w:t xml:space="preserve">, M. et al [1999]. Using a high-level language to describe and create Web-based learning scenarios frontiers. In: Education Conference FIE’99 IEEE Computer Society, </w:t>
      </w:r>
      <w:smartTag w:uri="urn:schemas-microsoft-com:office:smarttags" w:element="City">
        <w:smartTag w:uri="urn:schemas-microsoft-com:office:smarttags" w:element="place">
          <w:r>
            <w:rPr>
              <w:rFonts w:cs="Andalus"/>
              <w:b/>
              <w:bCs/>
              <w:sz w:val="22"/>
              <w:szCs w:val="22"/>
              <w:lang w:bidi="ar-EG"/>
            </w:rPr>
            <w:t>San Juan</w:t>
          </w:r>
        </w:smartTag>
      </w:smartTag>
      <w:r>
        <w:rPr>
          <w:rFonts w:cs="Andalus"/>
          <w:b/>
          <w:bCs/>
          <w:sz w:val="22"/>
          <w:szCs w:val="22"/>
          <w:lang w:bidi="ar-EG"/>
        </w:rPr>
        <w:t xml:space="preserve">, </w:t>
      </w:r>
      <w:smartTag w:uri="urn:schemas-microsoft-com:office:smarttags" w:element="place">
        <w:r>
          <w:rPr>
            <w:rFonts w:cs="Andalus"/>
            <w:b/>
            <w:bCs/>
            <w:sz w:val="22"/>
            <w:szCs w:val="22"/>
            <w:lang w:bidi="ar-EG"/>
          </w:rPr>
          <w:t>Puerto Rico</w:t>
        </w:r>
      </w:smartTag>
      <w:r>
        <w:rPr>
          <w:rFonts w:cs="Andalus"/>
          <w:b/>
          <w:bCs/>
          <w:sz w:val="22"/>
          <w:szCs w:val="22"/>
          <w:lang w:bidi="ar-EG"/>
        </w:rPr>
        <w:t xml:space="preserve">. </w:t>
      </w:r>
    </w:p>
    <w:p w:rsidR="00F4142F" w:rsidRDefault="00F4142F" w:rsidP="00F4142F">
      <w:pPr>
        <w:numPr>
          <w:ilvl w:val="0"/>
          <w:numId w:val="1"/>
        </w:numPr>
        <w:rPr>
          <w:rFonts w:cs="Andalus"/>
          <w:b/>
          <w:bCs/>
          <w:sz w:val="22"/>
          <w:szCs w:val="22"/>
          <w:lang w:bidi="ar-EG"/>
        </w:rPr>
      </w:pPr>
      <w:proofErr w:type="spellStart"/>
      <w:r>
        <w:rPr>
          <w:rFonts w:cs="Andalus"/>
          <w:b/>
          <w:bCs/>
          <w:sz w:val="22"/>
          <w:szCs w:val="22"/>
          <w:lang w:bidi="ar-EG"/>
        </w:rPr>
        <w:t>Silberthom</w:t>
      </w:r>
      <w:proofErr w:type="spellEnd"/>
      <w:r>
        <w:rPr>
          <w:rFonts w:cs="Andalus"/>
          <w:b/>
          <w:bCs/>
          <w:sz w:val="22"/>
          <w:szCs w:val="22"/>
          <w:lang w:bidi="ar-EG"/>
        </w:rPr>
        <w:t xml:space="preserve">, H and </w:t>
      </w:r>
      <w:proofErr w:type="spellStart"/>
      <w:r>
        <w:rPr>
          <w:rFonts w:cs="Andalus"/>
          <w:b/>
          <w:bCs/>
          <w:sz w:val="22"/>
          <w:szCs w:val="22"/>
          <w:lang w:bidi="ar-EG"/>
        </w:rPr>
        <w:t>Gaeda</w:t>
      </w:r>
      <w:proofErr w:type="spellEnd"/>
      <w:r>
        <w:rPr>
          <w:rFonts w:cs="Andalus"/>
          <w:b/>
          <w:bCs/>
          <w:sz w:val="22"/>
          <w:szCs w:val="22"/>
          <w:lang w:bidi="ar-EG"/>
        </w:rPr>
        <w:t>, B. [1999]. IMSDL: Instructional, material structure description language, 7</w:t>
      </w:r>
      <w:r w:rsidRPr="00D05C66">
        <w:rPr>
          <w:rFonts w:cs="Andalus"/>
          <w:b/>
          <w:bCs/>
          <w:sz w:val="22"/>
          <w:szCs w:val="22"/>
          <w:vertAlign w:val="superscript"/>
          <w:lang w:bidi="ar-EG"/>
        </w:rPr>
        <w:t>th</w:t>
      </w:r>
      <w:r>
        <w:rPr>
          <w:rFonts w:cs="Andalus"/>
          <w:b/>
          <w:bCs/>
          <w:sz w:val="22"/>
          <w:szCs w:val="22"/>
          <w:lang w:bidi="ar-EG"/>
        </w:rPr>
        <w:t xml:space="preserve"> BOBCATSSS Symposium on Learning Society, Learning Organization, Lifelong  Learning, </w:t>
      </w:r>
      <w:smartTag w:uri="urn:schemas-microsoft-com:office:smarttags" w:element="place">
        <w:smartTag w:uri="urn:schemas-microsoft-com:office:smarttags" w:element="City">
          <w:r>
            <w:rPr>
              <w:rFonts w:cs="Andalus"/>
              <w:b/>
              <w:bCs/>
              <w:sz w:val="22"/>
              <w:szCs w:val="22"/>
              <w:lang w:bidi="ar-EG"/>
            </w:rPr>
            <w:t>Bratislava</w:t>
          </w:r>
        </w:smartTag>
      </w:smartTag>
      <w:r>
        <w:rPr>
          <w:rFonts w:cs="Andalus"/>
          <w:b/>
          <w:bCs/>
          <w:sz w:val="22"/>
          <w:szCs w:val="22"/>
          <w:lang w:bidi="ar-EG"/>
        </w:rPr>
        <w:t>.</w:t>
      </w:r>
    </w:p>
    <w:p w:rsidR="00F4142F" w:rsidRDefault="00F4142F" w:rsidP="00F4142F">
      <w:pPr>
        <w:numPr>
          <w:ilvl w:val="0"/>
          <w:numId w:val="1"/>
        </w:numPr>
        <w:rPr>
          <w:rFonts w:cs="Andalus"/>
          <w:b/>
          <w:bCs/>
          <w:sz w:val="22"/>
          <w:szCs w:val="22"/>
          <w:lang w:bidi="ar-EG"/>
        </w:rPr>
      </w:pPr>
      <w:proofErr w:type="spellStart"/>
      <w:r>
        <w:rPr>
          <w:rFonts w:cs="Andalus"/>
          <w:b/>
          <w:bCs/>
          <w:sz w:val="22"/>
          <w:szCs w:val="22"/>
          <w:lang w:bidi="ar-EG"/>
        </w:rPr>
        <w:t>Stenacher</w:t>
      </w:r>
      <w:proofErr w:type="spellEnd"/>
      <w:r>
        <w:rPr>
          <w:rFonts w:cs="Andalus"/>
          <w:b/>
          <w:bCs/>
          <w:sz w:val="22"/>
          <w:szCs w:val="22"/>
          <w:lang w:bidi="ar-EG"/>
        </w:rPr>
        <w:t>, A. et al [1999]. Dynamically generated tables of contents as guided tours. In: Adaptive Hypermedia Systems Proceedings of ED-MEDIA, June 1999.</w:t>
      </w:r>
    </w:p>
    <w:p w:rsidR="00F4142F" w:rsidRDefault="00F4142F" w:rsidP="00F4142F">
      <w:pPr>
        <w:numPr>
          <w:ilvl w:val="0"/>
          <w:numId w:val="1"/>
        </w:numPr>
        <w:rPr>
          <w:rFonts w:cs="Andalus"/>
          <w:b/>
          <w:bCs/>
          <w:sz w:val="22"/>
          <w:szCs w:val="22"/>
          <w:lang w:bidi="ar-EG"/>
        </w:rPr>
      </w:pPr>
      <w:r>
        <w:rPr>
          <w:rFonts w:cs="Andalus"/>
          <w:b/>
          <w:bCs/>
          <w:sz w:val="22"/>
          <w:szCs w:val="22"/>
          <w:lang w:bidi="ar-EG"/>
        </w:rPr>
        <w:lastRenderedPageBreak/>
        <w:t xml:space="preserve">Sub, c. et al [2000]. </w:t>
      </w:r>
      <w:proofErr w:type="spellStart"/>
      <w:r>
        <w:rPr>
          <w:rFonts w:cs="Andalus"/>
          <w:b/>
          <w:bCs/>
          <w:sz w:val="22"/>
          <w:szCs w:val="22"/>
          <w:lang w:bidi="ar-EG"/>
        </w:rPr>
        <w:t>Teachware</w:t>
      </w:r>
      <w:proofErr w:type="spellEnd"/>
      <w:r>
        <w:rPr>
          <w:rFonts w:cs="Andalus"/>
          <w:b/>
          <w:bCs/>
          <w:sz w:val="22"/>
          <w:szCs w:val="22"/>
          <w:lang w:bidi="ar-EG"/>
        </w:rPr>
        <w:t xml:space="preserve"> framework for multiple teaching strategies. In: Proceedings of ED-MEDIA 2000, World Conference on Educational Multimedia, Hypermedia &amp; Telecommunications. </w:t>
      </w:r>
      <w:smartTag w:uri="urn:schemas-microsoft-com:office:smarttags" w:element="place">
        <w:smartTag w:uri="urn:schemas-microsoft-com:office:smarttags" w:element="City">
          <w:r>
            <w:rPr>
              <w:rFonts w:cs="Andalus"/>
              <w:b/>
              <w:bCs/>
              <w:sz w:val="22"/>
              <w:szCs w:val="22"/>
              <w:lang w:bidi="ar-EG"/>
            </w:rPr>
            <w:t>Montreal</w:t>
          </w:r>
        </w:smartTag>
        <w:r>
          <w:rPr>
            <w:rFonts w:cs="Andalus"/>
            <w:b/>
            <w:bCs/>
            <w:sz w:val="22"/>
            <w:szCs w:val="22"/>
            <w:lang w:bidi="ar-EG"/>
          </w:rPr>
          <w:t xml:space="preserve">, </w:t>
        </w:r>
        <w:smartTag w:uri="urn:schemas-microsoft-com:office:smarttags" w:element="State">
          <w:r>
            <w:rPr>
              <w:rFonts w:cs="Andalus"/>
              <w:b/>
              <w:bCs/>
              <w:sz w:val="22"/>
              <w:szCs w:val="22"/>
              <w:lang w:bidi="ar-EG"/>
            </w:rPr>
            <w:t>Quebec</w:t>
          </w:r>
        </w:smartTag>
      </w:smartTag>
      <w:r>
        <w:rPr>
          <w:rFonts w:cs="Andalus"/>
          <w:b/>
          <w:bCs/>
          <w:sz w:val="22"/>
          <w:szCs w:val="22"/>
          <w:lang w:bidi="ar-EG"/>
        </w:rPr>
        <w:t>.</w:t>
      </w:r>
    </w:p>
    <w:p w:rsidR="00F4142F" w:rsidRDefault="00F4142F" w:rsidP="00F4142F">
      <w:pPr>
        <w:numPr>
          <w:ilvl w:val="0"/>
          <w:numId w:val="1"/>
        </w:numPr>
        <w:rPr>
          <w:rFonts w:cs="Andalus"/>
          <w:b/>
          <w:bCs/>
          <w:sz w:val="22"/>
          <w:szCs w:val="22"/>
          <w:lang w:bidi="ar-EG"/>
        </w:rPr>
      </w:pPr>
      <w:proofErr w:type="spellStart"/>
      <w:r>
        <w:rPr>
          <w:rFonts w:cs="Andalus"/>
          <w:b/>
          <w:bCs/>
          <w:sz w:val="22"/>
          <w:szCs w:val="22"/>
          <w:lang w:bidi="ar-EG"/>
        </w:rPr>
        <w:t>Teege</w:t>
      </w:r>
      <w:proofErr w:type="spellEnd"/>
      <w:r>
        <w:rPr>
          <w:rFonts w:cs="Andalus"/>
          <w:b/>
          <w:bCs/>
          <w:sz w:val="22"/>
          <w:szCs w:val="22"/>
          <w:lang w:bidi="ar-EG"/>
        </w:rPr>
        <w:t xml:space="preserve">, C. [2000]. </w:t>
      </w:r>
      <w:proofErr w:type="spellStart"/>
      <w:r>
        <w:rPr>
          <w:rFonts w:cs="Andalus"/>
          <w:b/>
          <w:bCs/>
          <w:sz w:val="22"/>
          <w:szCs w:val="22"/>
          <w:lang w:bidi="ar-EG"/>
        </w:rPr>
        <w:t>Targeteam</w:t>
      </w:r>
      <w:proofErr w:type="spellEnd"/>
      <w:r>
        <w:rPr>
          <w:rFonts w:cs="Andalus"/>
          <w:b/>
          <w:bCs/>
          <w:sz w:val="22"/>
          <w:szCs w:val="22"/>
          <w:lang w:bidi="ar-EG"/>
        </w:rPr>
        <w:t xml:space="preserve">, Targeted reuse and generation of </w:t>
      </w:r>
      <w:proofErr w:type="spellStart"/>
      <w:r>
        <w:rPr>
          <w:rFonts w:cs="Andalus"/>
          <w:b/>
          <w:bCs/>
          <w:sz w:val="22"/>
          <w:szCs w:val="22"/>
          <w:lang w:bidi="ar-EG"/>
        </w:rPr>
        <w:t>TEAching</w:t>
      </w:r>
      <w:proofErr w:type="spellEnd"/>
      <w:r>
        <w:rPr>
          <w:rFonts w:cs="Andalus"/>
          <w:b/>
          <w:bCs/>
          <w:sz w:val="22"/>
          <w:szCs w:val="22"/>
          <w:lang w:bidi="ar-EG"/>
        </w:rPr>
        <w:t xml:space="preserve"> materials. [http://www11.informatik.tu/muenchen.de/forschung/projekte/targeteam/index.html.en]</w:t>
      </w:r>
    </w:p>
    <w:p w:rsidR="00F4142F" w:rsidRDefault="00F4142F" w:rsidP="00F4142F">
      <w:pPr>
        <w:numPr>
          <w:ilvl w:val="0"/>
          <w:numId w:val="1"/>
        </w:numPr>
        <w:rPr>
          <w:rFonts w:cs="Andalus"/>
          <w:b/>
          <w:bCs/>
          <w:sz w:val="22"/>
          <w:szCs w:val="22"/>
          <w:lang w:bidi="ar-EG"/>
        </w:rPr>
      </w:pPr>
      <w:proofErr w:type="spellStart"/>
      <w:r>
        <w:rPr>
          <w:rFonts w:cs="Andalus"/>
          <w:b/>
          <w:bCs/>
          <w:sz w:val="22"/>
          <w:szCs w:val="22"/>
          <w:lang w:bidi="ar-EG"/>
        </w:rPr>
        <w:t>Wehner</w:t>
      </w:r>
      <w:proofErr w:type="spellEnd"/>
      <w:r>
        <w:rPr>
          <w:rFonts w:cs="Andalus"/>
          <w:b/>
          <w:bCs/>
          <w:sz w:val="22"/>
          <w:szCs w:val="22"/>
          <w:lang w:bidi="ar-EG"/>
        </w:rPr>
        <w:t xml:space="preserve">, F. [2001]. Developing modular and adaptable courseware using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cs="Andalus"/>
              <w:b/>
              <w:bCs/>
              <w:sz w:val="22"/>
              <w:szCs w:val="22"/>
              <w:lang w:bidi="ar-EG"/>
            </w:rPr>
            <w:t>TeachML</w:t>
          </w:r>
        </w:smartTag>
        <w:proofErr w:type="spellEnd"/>
        <w:r>
          <w:rPr>
            <w:rFonts w:cs="Andalus"/>
            <w:b/>
            <w:bCs/>
            <w:sz w:val="22"/>
            <w:szCs w:val="22"/>
            <w:lang w:bidi="ar-EG"/>
          </w:rPr>
          <w:t xml:space="preserve">, </w:t>
        </w:r>
        <w:smartTag w:uri="urn:schemas-microsoft-com:office:smarttags" w:element="country-region">
          <w:r>
            <w:rPr>
              <w:rFonts w:cs="Andalus"/>
              <w:b/>
              <w:bCs/>
              <w:sz w:val="22"/>
              <w:szCs w:val="22"/>
              <w:lang w:bidi="ar-EG"/>
            </w:rPr>
            <w:t>Finland</w:t>
          </w:r>
        </w:smartTag>
      </w:smartTag>
      <w:r>
        <w:rPr>
          <w:rFonts w:cs="Andalus"/>
          <w:b/>
          <w:bCs/>
          <w:sz w:val="22"/>
          <w:szCs w:val="22"/>
          <w:lang w:bidi="ar-EG"/>
        </w:rPr>
        <w:t>, pp. 2013-2018.</w:t>
      </w:r>
    </w:p>
    <w:p w:rsidR="00F4142F" w:rsidRDefault="00F4142F" w:rsidP="00F4142F">
      <w:pPr>
        <w:numPr>
          <w:ilvl w:val="0"/>
          <w:numId w:val="1"/>
        </w:numPr>
        <w:rPr>
          <w:rFonts w:cs="Andalus"/>
          <w:b/>
          <w:bCs/>
          <w:sz w:val="22"/>
          <w:szCs w:val="22"/>
          <w:lang w:bidi="ar-EG"/>
        </w:rPr>
      </w:pPr>
      <w:r>
        <w:rPr>
          <w:rFonts w:cs="Andalus"/>
          <w:b/>
          <w:bCs/>
          <w:sz w:val="22"/>
          <w:szCs w:val="22"/>
          <w:lang w:bidi="ar-EG"/>
        </w:rPr>
        <w:t xml:space="preserve">Wiest, S. and Zell, A. [2001]. Improving Web-based training using an XML content base. In: Proceedings of ED-MEDIA 2001,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cs="Andalus"/>
              <w:b/>
              <w:bCs/>
              <w:sz w:val="22"/>
              <w:szCs w:val="22"/>
              <w:lang w:bidi="ar-EG"/>
            </w:rPr>
            <w:t>Tempere</w:t>
          </w:r>
        </w:smartTag>
        <w:proofErr w:type="spellEnd"/>
        <w:r>
          <w:rPr>
            <w:rFonts w:cs="Andalus"/>
            <w:b/>
            <w:bCs/>
            <w:sz w:val="22"/>
            <w:szCs w:val="22"/>
            <w:lang w:bidi="ar-EG"/>
          </w:rPr>
          <w:t xml:space="preserve">, </w:t>
        </w:r>
        <w:smartTag w:uri="urn:schemas-microsoft-com:office:smarttags" w:element="country-region">
          <w:r>
            <w:rPr>
              <w:rFonts w:cs="Andalus"/>
              <w:b/>
              <w:bCs/>
              <w:sz w:val="22"/>
              <w:szCs w:val="22"/>
              <w:lang w:bidi="ar-EG"/>
            </w:rPr>
            <w:t>Finland</w:t>
          </w:r>
        </w:smartTag>
      </w:smartTag>
      <w:r>
        <w:rPr>
          <w:rFonts w:cs="Andalus"/>
          <w:b/>
          <w:bCs/>
          <w:sz w:val="22"/>
          <w:szCs w:val="22"/>
          <w:lang w:bidi="ar-EG"/>
        </w:rPr>
        <w:t>, pp. 458-463.</w:t>
      </w:r>
    </w:p>
    <w:p w:rsidR="00F4142F" w:rsidRPr="009A00CC" w:rsidRDefault="00F4142F" w:rsidP="00F4142F">
      <w:pPr>
        <w:ind w:left="360"/>
        <w:rPr>
          <w:rFonts w:cs="Andalus"/>
          <w:b/>
          <w:bCs/>
          <w:sz w:val="22"/>
          <w:szCs w:val="22"/>
          <w:lang w:bidi="ar-EG"/>
        </w:rPr>
      </w:pPr>
      <w:r>
        <w:rPr>
          <w:rFonts w:cs="Andalus"/>
          <w:b/>
          <w:bCs/>
          <w:sz w:val="22"/>
          <w:szCs w:val="22"/>
          <w:lang w:bidi="ar-EG"/>
        </w:rPr>
        <w:t>___________________________________________________________________________</w:t>
      </w:r>
    </w:p>
    <w:p w:rsidR="00976CAB" w:rsidRDefault="00976CAB">
      <w:pPr>
        <w:rPr>
          <w:lang w:bidi="ar-EG"/>
        </w:rPr>
      </w:pPr>
    </w:p>
    <w:sectPr w:rsidR="00976CAB" w:rsidSect="00C72EA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3901"/>
    <w:multiLevelType w:val="hybridMultilevel"/>
    <w:tmpl w:val="E01E8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2F"/>
    <w:rsid w:val="00976CAB"/>
    <w:rsid w:val="00C72EA9"/>
    <w:rsid w:val="00F4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2987</Characters>
  <Application>Microsoft Office Word</Application>
  <DocSecurity>0</DocSecurity>
  <Lines>24</Lines>
  <Paragraphs>7</Paragraphs>
  <ScaleCrop>false</ScaleCrop>
  <Company>SACC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2020-03-02T14:36:00Z</dcterms:created>
  <dcterms:modified xsi:type="dcterms:W3CDTF">2020-03-02T14:43:00Z</dcterms:modified>
</cp:coreProperties>
</file>