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DA0164" w:rsidRDefault="00DA0164" w:rsidP="00DA0164">
      <w:pPr>
        <w:bidi/>
        <w:jc w:val="both"/>
        <w:rPr>
          <w:rFonts w:cs="Simplified Arabic" w:hint="cs"/>
          <w:b/>
          <w:bCs/>
          <w:sz w:val="36"/>
          <w:szCs w:val="36"/>
          <w:rtl/>
          <w:lang w:bidi="ar-EG"/>
        </w:rPr>
      </w:pPr>
      <w:bookmarkStart w:id="0" w:name="_GoBack"/>
      <w:r w:rsidRPr="00373D4F">
        <w:rPr>
          <w:rFonts w:cs="Simplified Arabic" w:hint="cs"/>
          <w:b/>
          <w:bCs/>
          <w:sz w:val="36"/>
          <w:szCs w:val="36"/>
          <w:u w:val="single"/>
          <w:rtl/>
          <w:lang w:bidi="ar-EG"/>
        </w:rPr>
        <w:t>النموذ</w:t>
      </w:r>
      <w:r w:rsidRPr="00373D4F">
        <w:rPr>
          <w:rFonts w:cs="Simplified Arabic" w:hint="eastAsia"/>
          <w:b/>
          <w:bCs/>
          <w:sz w:val="36"/>
          <w:szCs w:val="36"/>
          <w:u w:val="single"/>
          <w:rtl/>
          <w:lang w:bidi="ar-EG"/>
        </w:rPr>
        <w:t>ج</w:t>
      </w:r>
      <w:r w:rsidRPr="00373D4F">
        <w:rPr>
          <w:rFonts w:cs="Simplified Arabic" w:hint="cs"/>
          <w:b/>
          <w:bCs/>
          <w:sz w:val="36"/>
          <w:szCs w:val="36"/>
          <w:u w:val="single"/>
          <w:rtl/>
          <w:lang w:bidi="ar-EG"/>
        </w:rPr>
        <w:t xml:space="preserve"> الوظيفي</w:t>
      </w:r>
      <w:bookmarkEnd w:id="0"/>
      <w:r>
        <w:rPr>
          <w:rFonts w:cs="Simplified Arabic" w:hint="cs"/>
          <w:b/>
          <w:bCs/>
          <w:sz w:val="36"/>
          <w:szCs w:val="36"/>
          <w:rtl/>
          <w:lang w:bidi="ar-EG"/>
        </w:rPr>
        <w:t>:</w:t>
      </w:r>
    </w:p>
    <w:p w:rsidR="00DA0164" w:rsidRDefault="00DA0164" w:rsidP="00DA0164">
      <w:pPr>
        <w:bidi/>
        <w:jc w:val="both"/>
        <w:rPr>
          <w:rFonts w:cs="Simplified Arabic" w:hint="cs"/>
          <w:b/>
          <w:bCs/>
          <w:sz w:val="36"/>
          <w:szCs w:val="36"/>
          <w:rtl/>
        </w:rPr>
      </w:pPr>
      <w:proofErr w:type="spellStart"/>
      <w:r w:rsidRPr="00CA412A">
        <w:rPr>
          <w:rFonts w:ascii="Arial" w:hAnsi="Arial" w:hint="cs"/>
          <w:b/>
          <w:bCs/>
          <w:color w:val="7030A0"/>
          <w:sz w:val="32"/>
          <w:szCs w:val="32"/>
          <w:rtl/>
        </w:rPr>
        <w:t>ا.م.د</w:t>
      </w:r>
      <w:proofErr w:type="spellEnd"/>
      <w:r w:rsidRPr="00CA412A">
        <w:rPr>
          <w:rFonts w:ascii="Arial" w:hAnsi="Arial" w:hint="cs"/>
          <w:b/>
          <w:bCs/>
          <w:color w:val="7030A0"/>
          <w:sz w:val="32"/>
          <w:szCs w:val="32"/>
          <w:rtl/>
        </w:rPr>
        <w:t xml:space="preserve">.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r w:rsidRPr="00CA412A">
        <w:rPr>
          <w:rFonts w:ascii="Arial" w:hAnsi="Arial"/>
          <w:b/>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DA0164" w:rsidRDefault="00DA0164" w:rsidP="00DA0164">
      <w:pPr>
        <w:bidi/>
        <w:jc w:val="both"/>
        <w:rPr>
          <w:rFonts w:cs="Simplified Arabic" w:hint="cs"/>
          <w:b/>
          <w:bCs/>
          <w:sz w:val="28"/>
          <w:szCs w:val="28"/>
          <w:rtl/>
          <w:lang w:bidi="ar-EG"/>
        </w:rPr>
      </w:pPr>
      <w:r>
        <w:rPr>
          <w:rFonts w:cs="Simplified Arabic" w:hint="cs"/>
          <w:b/>
          <w:bCs/>
          <w:sz w:val="28"/>
          <w:szCs w:val="28"/>
          <w:rtl/>
          <w:lang w:bidi="ar-EG"/>
        </w:rPr>
        <w:t xml:space="preserve">يصف النموذج الوظيفي </w:t>
      </w:r>
      <w:r>
        <w:rPr>
          <w:rFonts w:cs="Simplified Arabic"/>
          <w:b/>
          <w:bCs/>
          <w:sz w:val="22"/>
          <w:szCs w:val="22"/>
          <w:lang w:bidi="ar-EG"/>
        </w:rPr>
        <w:t>Functional Model</w:t>
      </w:r>
      <w:r>
        <w:rPr>
          <w:rFonts w:cs="Simplified Arabic" w:hint="cs"/>
          <w:b/>
          <w:bCs/>
          <w:sz w:val="22"/>
          <w:szCs w:val="22"/>
          <w:rtl/>
          <w:lang w:bidi="ar-EG"/>
        </w:rPr>
        <w:t xml:space="preserve"> </w:t>
      </w:r>
      <w:r>
        <w:rPr>
          <w:rFonts w:cs="Simplified Arabic" w:hint="cs"/>
          <w:b/>
          <w:bCs/>
          <w:sz w:val="28"/>
          <w:szCs w:val="28"/>
          <w:rtl/>
          <w:lang w:bidi="ar-EG"/>
        </w:rPr>
        <w:t xml:space="preserve">المداخل التي يسمح للمستخدم (الطالب أو المعلم) بالتفاعل مع هيكل تخزين القرص </w:t>
      </w:r>
      <w:r>
        <w:rPr>
          <w:rFonts w:cs="Simplified Arabic"/>
          <w:b/>
          <w:bCs/>
          <w:sz w:val="22"/>
          <w:szCs w:val="22"/>
          <w:lang w:bidi="ar-EG"/>
        </w:rPr>
        <w:t>DSS</w:t>
      </w:r>
      <w:r>
        <w:rPr>
          <w:rFonts w:cs="Simplified Arabic" w:hint="cs"/>
          <w:b/>
          <w:bCs/>
          <w:sz w:val="28"/>
          <w:szCs w:val="28"/>
          <w:rtl/>
          <w:lang w:bidi="ar-EG"/>
        </w:rPr>
        <w:t xml:space="preserve"> ومداخله مع العناصر الهيكلية الأخرى. والشكل التالي يوضح شكل لغة </w:t>
      </w:r>
      <w:proofErr w:type="spellStart"/>
      <w:r>
        <w:rPr>
          <w:rFonts w:cs="Simplified Arabic" w:hint="cs"/>
          <w:b/>
          <w:bCs/>
          <w:sz w:val="28"/>
          <w:szCs w:val="28"/>
          <w:rtl/>
          <w:lang w:bidi="ar-EG"/>
        </w:rPr>
        <w:t>النمذجة</w:t>
      </w:r>
      <w:proofErr w:type="spellEnd"/>
      <w:r>
        <w:rPr>
          <w:rFonts w:cs="Simplified Arabic" w:hint="cs"/>
          <w:b/>
          <w:bCs/>
          <w:sz w:val="28"/>
          <w:szCs w:val="28"/>
          <w:rtl/>
          <w:lang w:bidi="ar-EG"/>
        </w:rPr>
        <w:t xml:space="preserve"> الموحدة </w:t>
      </w:r>
      <w:r>
        <w:rPr>
          <w:rFonts w:cs="Simplified Arabic"/>
          <w:b/>
          <w:bCs/>
          <w:sz w:val="22"/>
          <w:szCs w:val="22"/>
          <w:lang w:bidi="ar-EG"/>
        </w:rPr>
        <w:t>Unified Modeling Language (UML)</w:t>
      </w:r>
      <w:r>
        <w:rPr>
          <w:rFonts w:cs="Simplified Arabic" w:hint="cs"/>
          <w:b/>
          <w:bCs/>
          <w:sz w:val="28"/>
          <w:szCs w:val="28"/>
          <w:rtl/>
          <w:lang w:bidi="ar-EG"/>
        </w:rPr>
        <w:t xml:space="preserve"> البسيط الذي يعرض المداخل الوظيفية الرئيسة وعلاقاتها مع باقي </w:t>
      </w:r>
      <w:proofErr w:type="spellStart"/>
      <w:r>
        <w:rPr>
          <w:rFonts w:cs="Simplified Arabic" w:hint="cs"/>
          <w:b/>
          <w:bCs/>
          <w:sz w:val="28"/>
          <w:szCs w:val="28"/>
          <w:rtl/>
          <w:lang w:bidi="ar-EG"/>
        </w:rPr>
        <w:t>المداخلوتمثل</w:t>
      </w:r>
      <w:proofErr w:type="spellEnd"/>
      <w:r>
        <w:rPr>
          <w:rFonts w:cs="Simplified Arabic" w:hint="cs"/>
          <w:b/>
          <w:bCs/>
          <w:sz w:val="28"/>
          <w:szCs w:val="28"/>
          <w:rtl/>
          <w:lang w:bidi="ar-EG"/>
        </w:rPr>
        <w:t xml:space="preserve"> هذه المداخل سيناريوهات تعلم ومهام تعليمية بالتبعية.</w:t>
      </w:r>
    </w:p>
    <w:p w:rsidR="00DA0164" w:rsidRDefault="00DA0164" w:rsidP="00DA0164">
      <w:pPr>
        <w:pBdr>
          <w:top w:val="single" w:sz="4" w:space="1" w:color="auto"/>
          <w:left w:val="single" w:sz="4" w:space="4" w:color="auto"/>
          <w:bottom w:val="single" w:sz="4" w:space="1" w:color="auto"/>
          <w:right w:val="single" w:sz="4" w:space="4" w:color="auto"/>
        </w:pBdr>
        <w:bidi/>
        <w:jc w:val="both"/>
        <w:rPr>
          <w:rFonts w:cs="Simplified Arabic" w:hint="cs"/>
          <w:b/>
          <w:bCs/>
          <w:rtl/>
          <w:lang w:bidi="ar-EG"/>
        </w:rPr>
      </w:pPr>
    </w:p>
    <w:p w:rsidR="00DA0164" w:rsidRDefault="00DA0164" w:rsidP="00DA0164">
      <w:pPr>
        <w:pBdr>
          <w:top w:val="single" w:sz="4" w:space="1" w:color="auto"/>
          <w:left w:val="single" w:sz="4" w:space="4" w:color="auto"/>
          <w:bottom w:val="single" w:sz="4" w:space="1" w:color="auto"/>
          <w:right w:val="single" w:sz="4" w:space="4" w:color="auto"/>
        </w:pBdr>
        <w:bidi/>
        <w:jc w:val="both"/>
        <w:rPr>
          <w:rFonts w:cs="Simplified Arabic" w:hint="cs"/>
          <w:b/>
          <w:bCs/>
          <w:sz w:val="28"/>
          <w:szCs w:val="28"/>
          <w:rtl/>
          <w:lang w:bidi="ar-EG"/>
        </w:rPr>
      </w:pPr>
      <w:r>
        <w:rPr>
          <w:rFonts w:cs="Simplified Arabic"/>
          <w:b/>
          <w:bCs/>
          <w:noProof/>
        </w:rPr>
        <mc:AlternateContent>
          <mc:Choice Requires="wpc">
            <w:drawing>
              <wp:inline distT="0" distB="0" distL="0" distR="0">
                <wp:extent cx="5486400" cy="2971800"/>
                <wp:effectExtent l="0" t="0" r="0" b="3810"/>
                <wp:docPr id="30" name="لوحة قماشية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3200400" y="114300"/>
                            <a:ext cx="800100" cy="342900"/>
                          </a:xfrm>
                          <a:prstGeom prst="rect">
                            <a:avLst/>
                          </a:prstGeom>
                          <a:solidFill>
                            <a:srgbClr val="FFFFFF"/>
                          </a:solidFill>
                          <a:ln w="9525">
                            <a:solidFill>
                              <a:srgbClr val="000000"/>
                            </a:solidFill>
                            <a:miter lim="800000"/>
                            <a:headEnd/>
                            <a:tailEnd/>
                          </a:ln>
                        </wps:spPr>
                        <wps:txbx>
                          <w:txbxContent>
                            <w:p w:rsidR="00DA0164" w:rsidRPr="00980E77" w:rsidRDefault="00DA0164" w:rsidP="00DA0164">
                              <w:pPr>
                                <w:bidi/>
                                <w:jc w:val="center"/>
                                <w:rPr>
                                  <w:rFonts w:hint="cs"/>
                                  <w:b/>
                                  <w:bCs/>
                                  <w:sz w:val="22"/>
                                  <w:szCs w:val="22"/>
                                  <w:lang w:bidi="ar-EG"/>
                                </w:rPr>
                              </w:pPr>
                              <w:r>
                                <w:rPr>
                                  <w:rFonts w:hint="cs"/>
                                  <w:b/>
                                  <w:bCs/>
                                  <w:sz w:val="22"/>
                                  <w:szCs w:val="22"/>
                                  <w:rtl/>
                                  <w:lang w:bidi="ar-EG"/>
                                </w:rPr>
                                <w:t>التصنيف</w:t>
                              </w:r>
                            </w:p>
                          </w:txbxContent>
                        </wps:txbx>
                        <wps:bodyPr rot="0" vert="horz" wrap="square" lIns="91440" tIns="45720" rIns="91440" bIns="45720" anchor="t" anchorCtr="0" upright="1">
                          <a:noAutofit/>
                        </wps:bodyPr>
                      </wps:wsp>
                      <wps:wsp>
                        <wps:cNvPr id="2" name="Rectangle 5"/>
                        <wps:cNvSpPr>
                          <a:spLocks noChangeArrowheads="1"/>
                        </wps:cNvSpPr>
                        <wps:spPr bwMode="auto">
                          <a:xfrm>
                            <a:off x="2171700" y="114300"/>
                            <a:ext cx="800100" cy="342900"/>
                          </a:xfrm>
                          <a:prstGeom prst="rect">
                            <a:avLst/>
                          </a:prstGeom>
                          <a:solidFill>
                            <a:srgbClr val="FFFFFF"/>
                          </a:solidFill>
                          <a:ln w="9525">
                            <a:solidFill>
                              <a:srgbClr val="000000"/>
                            </a:solidFill>
                            <a:miter lim="800000"/>
                            <a:headEnd/>
                            <a:tailEnd/>
                          </a:ln>
                        </wps:spPr>
                        <wps:txbx>
                          <w:txbxContent>
                            <w:p w:rsidR="00DA0164" w:rsidRPr="00980E77" w:rsidRDefault="00DA0164" w:rsidP="00DA0164">
                              <w:pPr>
                                <w:bidi/>
                                <w:jc w:val="center"/>
                                <w:rPr>
                                  <w:rFonts w:hint="cs"/>
                                  <w:b/>
                                  <w:bCs/>
                                  <w:sz w:val="22"/>
                                  <w:szCs w:val="22"/>
                                  <w:lang w:bidi="ar-EG"/>
                                </w:rPr>
                              </w:pPr>
                              <w:r>
                                <w:rPr>
                                  <w:rFonts w:hint="cs"/>
                                  <w:b/>
                                  <w:bCs/>
                                  <w:sz w:val="22"/>
                                  <w:szCs w:val="22"/>
                                  <w:rtl/>
                                  <w:lang w:bidi="ar-EG"/>
                                </w:rPr>
                                <w:t>الشرح</w:t>
                              </w:r>
                            </w:p>
                          </w:txbxContent>
                        </wps:txbx>
                        <wps:bodyPr rot="0" vert="horz" wrap="square" lIns="91440" tIns="45720" rIns="91440" bIns="45720" anchor="t" anchorCtr="0" upright="1">
                          <a:noAutofit/>
                        </wps:bodyPr>
                      </wps:wsp>
                      <wps:wsp>
                        <wps:cNvPr id="3" name="Rectangle 6"/>
                        <wps:cNvSpPr>
                          <a:spLocks noChangeArrowheads="1"/>
                        </wps:cNvSpPr>
                        <wps:spPr bwMode="auto">
                          <a:xfrm>
                            <a:off x="1143000" y="114300"/>
                            <a:ext cx="800100" cy="342900"/>
                          </a:xfrm>
                          <a:prstGeom prst="rect">
                            <a:avLst/>
                          </a:prstGeom>
                          <a:solidFill>
                            <a:srgbClr val="FFFFFF"/>
                          </a:solidFill>
                          <a:ln w="9525">
                            <a:solidFill>
                              <a:srgbClr val="000000"/>
                            </a:solidFill>
                            <a:miter lim="800000"/>
                            <a:headEnd/>
                            <a:tailEnd/>
                          </a:ln>
                        </wps:spPr>
                        <wps:txbx>
                          <w:txbxContent>
                            <w:p w:rsidR="00DA0164" w:rsidRPr="00980E77" w:rsidRDefault="00DA0164" w:rsidP="00DA0164">
                              <w:pPr>
                                <w:bidi/>
                                <w:jc w:val="center"/>
                                <w:rPr>
                                  <w:rFonts w:hint="cs"/>
                                  <w:b/>
                                  <w:bCs/>
                                  <w:lang w:bidi="ar-EG"/>
                                </w:rPr>
                              </w:pPr>
                              <w:r>
                                <w:rPr>
                                  <w:rFonts w:hint="cs"/>
                                  <w:b/>
                                  <w:bCs/>
                                  <w:rtl/>
                                  <w:lang w:bidi="ar-EG"/>
                                </w:rPr>
                                <w:t>...الخ.</w:t>
                              </w:r>
                            </w:p>
                          </w:txbxContent>
                        </wps:txbx>
                        <wps:bodyPr rot="0" vert="horz" wrap="square" lIns="91440" tIns="45720" rIns="91440" bIns="45720" anchor="t" anchorCtr="0" upright="1">
                          <a:noAutofit/>
                        </wps:bodyPr>
                      </wps:wsp>
                      <wps:wsp>
                        <wps:cNvPr id="4" name="Rectangle 7"/>
                        <wps:cNvSpPr>
                          <a:spLocks noChangeArrowheads="1"/>
                        </wps:cNvSpPr>
                        <wps:spPr bwMode="auto">
                          <a:xfrm>
                            <a:off x="2400300" y="800735"/>
                            <a:ext cx="1028700" cy="342265"/>
                          </a:xfrm>
                          <a:prstGeom prst="rect">
                            <a:avLst/>
                          </a:prstGeom>
                          <a:solidFill>
                            <a:srgbClr val="FFFFFF"/>
                          </a:solidFill>
                          <a:ln w="9525">
                            <a:solidFill>
                              <a:srgbClr val="000000"/>
                            </a:solidFill>
                            <a:miter lim="800000"/>
                            <a:headEnd/>
                            <a:tailEnd/>
                          </a:ln>
                        </wps:spPr>
                        <wps:txbx>
                          <w:txbxContent>
                            <w:p w:rsidR="00DA0164" w:rsidRPr="00980E77" w:rsidRDefault="00DA0164" w:rsidP="00DA0164">
                              <w:pPr>
                                <w:bidi/>
                                <w:jc w:val="center"/>
                                <w:rPr>
                                  <w:rFonts w:hint="cs"/>
                                  <w:b/>
                                  <w:bCs/>
                                  <w:sz w:val="22"/>
                                  <w:szCs w:val="22"/>
                                  <w:lang w:bidi="ar-EG"/>
                                </w:rPr>
                              </w:pPr>
                              <w:r>
                                <w:rPr>
                                  <w:rFonts w:hint="cs"/>
                                  <w:b/>
                                  <w:bCs/>
                                  <w:sz w:val="22"/>
                                  <w:szCs w:val="22"/>
                                  <w:rtl/>
                                  <w:lang w:bidi="ar-EG"/>
                                </w:rPr>
                                <w:t>نوع التصرف</w:t>
                              </w:r>
                            </w:p>
                          </w:txbxContent>
                        </wps:txbx>
                        <wps:bodyPr rot="0" vert="horz" wrap="square" lIns="91440" tIns="45720" rIns="91440" bIns="45720" anchor="t" anchorCtr="0" upright="1">
                          <a:noAutofit/>
                        </wps:bodyPr>
                      </wps:wsp>
                      <wps:wsp>
                        <wps:cNvPr id="5" name="Rectangle 8"/>
                        <wps:cNvSpPr>
                          <a:spLocks noChangeArrowheads="1"/>
                        </wps:cNvSpPr>
                        <wps:spPr bwMode="auto">
                          <a:xfrm>
                            <a:off x="1143000" y="800100"/>
                            <a:ext cx="1028700" cy="342900"/>
                          </a:xfrm>
                          <a:prstGeom prst="rect">
                            <a:avLst/>
                          </a:prstGeom>
                          <a:solidFill>
                            <a:srgbClr val="FFFFFF"/>
                          </a:solidFill>
                          <a:ln w="9525">
                            <a:solidFill>
                              <a:srgbClr val="000000"/>
                            </a:solidFill>
                            <a:miter lim="800000"/>
                            <a:headEnd/>
                            <a:tailEnd/>
                          </a:ln>
                        </wps:spPr>
                        <wps:txbx>
                          <w:txbxContent>
                            <w:p w:rsidR="00DA0164" w:rsidRPr="00980E77" w:rsidRDefault="00DA0164" w:rsidP="00DA0164">
                              <w:pPr>
                                <w:bidi/>
                                <w:jc w:val="center"/>
                                <w:rPr>
                                  <w:rFonts w:hint="cs"/>
                                  <w:b/>
                                  <w:bCs/>
                                  <w:sz w:val="22"/>
                                  <w:szCs w:val="22"/>
                                  <w:lang w:bidi="ar-EG"/>
                                </w:rPr>
                              </w:pPr>
                              <w:r>
                                <w:rPr>
                                  <w:rFonts w:hint="cs"/>
                                  <w:b/>
                                  <w:bCs/>
                                  <w:sz w:val="22"/>
                                  <w:szCs w:val="22"/>
                                  <w:rtl/>
                                  <w:lang w:bidi="ar-EG"/>
                                </w:rPr>
                                <w:t>مستوي الصعوبة</w:t>
                              </w:r>
                            </w:p>
                          </w:txbxContent>
                        </wps:txbx>
                        <wps:bodyPr rot="0" vert="horz" wrap="square" lIns="91440" tIns="45720" rIns="91440" bIns="45720" anchor="t" anchorCtr="0" upright="1">
                          <a:noAutofit/>
                        </wps:bodyPr>
                      </wps:wsp>
                      <wps:wsp>
                        <wps:cNvPr id="6" name="Rectangle 9"/>
                        <wps:cNvSpPr>
                          <a:spLocks noChangeArrowheads="1"/>
                        </wps:cNvSpPr>
                        <wps:spPr bwMode="auto">
                          <a:xfrm>
                            <a:off x="114300" y="800100"/>
                            <a:ext cx="914400" cy="342900"/>
                          </a:xfrm>
                          <a:prstGeom prst="rect">
                            <a:avLst/>
                          </a:prstGeom>
                          <a:solidFill>
                            <a:srgbClr val="FFFFFF"/>
                          </a:solidFill>
                          <a:ln w="9525">
                            <a:solidFill>
                              <a:srgbClr val="000000"/>
                            </a:solidFill>
                            <a:miter lim="800000"/>
                            <a:headEnd/>
                            <a:tailEnd/>
                          </a:ln>
                        </wps:spPr>
                        <wps:txbx>
                          <w:txbxContent>
                            <w:p w:rsidR="00DA0164" w:rsidRPr="00980E77" w:rsidRDefault="00DA0164" w:rsidP="00DA0164">
                              <w:pPr>
                                <w:jc w:val="center"/>
                                <w:rPr>
                                  <w:rFonts w:hint="cs"/>
                                  <w:b/>
                                  <w:bCs/>
                                  <w:lang w:bidi="ar-EG"/>
                                </w:rPr>
                              </w:pPr>
                              <w:r>
                                <w:rPr>
                                  <w:rFonts w:hint="cs"/>
                                  <w:b/>
                                  <w:bCs/>
                                  <w:rtl/>
                                  <w:lang w:bidi="ar-EG"/>
                                </w:rPr>
                                <w:t>...الخ</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4114800" y="1600200"/>
                            <a:ext cx="914400" cy="342900"/>
                          </a:xfrm>
                          <a:prstGeom prst="rect">
                            <a:avLst/>
                          </a:prstGeom>
                          <a:solidFill>
                            <a:srgbClr val="FFFFFF"/>
                          </a:solidFill>
                          <a:ln w="9525">
                            <a:solidFill>
                              <a:srgbClr val="000000"/>
                            </a:solidFill>
                            <a:miter lim="800000"/>
                            <a:headEnd/>
                            <a:tailEnd/>
                          </a:ln>
                        </wps:spPr>
                        <wps:txbx>
                          <w:txbxContent>
                            <w:p w:rsidR="00DA0164" w:rsidRPr="00980E77" w:rsidRDefault="00DA0164" w:rsidP="00DA0164">
                              <w:pPr>
                                <w:bidi/>
                                <w:jc w:val="center"/>
                                <w:rPr>
                                  <w:rFonts w:hint="cs"/>
                                  <w:b/>
                                  <w:bCs/>
                                  <w:lang w:bidi="ar-EG"/>
                                </w:rPr>
                              </w:pPr>
                              <w:r>
                                <w:rPr>
                                  <w:rFonts w:hint="cs"/>
                                  <w:b/>
                                  <w:bCs/>
                                  <w:rtl/>
                                  <w:lang w:bidi="ar-EG"/>
                                </w:rPr>
                                <w:t>المستخدم</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2743200" y="1600200"/>
                            <a:ext cx="914400" cy="342900"/>
                          </a:xfrm>
                          <a:prstGeom prst="rect">
                            <a:avLst/>
                          </a:prstGeom>
                          <a:solidFill>
                            <a:srgbClr val="FFFFFF"/>
                          </a:solidFill>
                          <a:ln w="9525">
                            <a:solidFill>
                              <a:srgbClr val="000000"/>
                            </a:solidFill>
                            <a:miter lim="800000"/>
                            <a:headEnd/>
                            <a:tailEnd/>
                          </a:ln>
                        </wps:spPr>
                        <wps:txbx>
                          <w:txbxContent>
                            <w:p w:rsidR="00DA0164" w:rsidRPr="00980E77" w:rsidRDefault="00DA0164" w:rsidP="00DA0164">
                              <w:pPr>
                                <w:jc w:val="center"/>
                                <w:rPr>
                                  <w:rFonts w:hint="cs"/>
                                  <w:b/>
                                  <w:bCs/>
                                  <w:lang w:bidi="ar-EG"/>
                                </w:rPr>
                              </w:pPr>
                              <w:r>
                                <w:rPr>
                                  <w:rFonts w:hint="cs"/>
                                  <w:b/>
                                  <w:bCs/>
                                  <w:rtl/>
                                  <w:lang w:bidi="ar-EG"/>
                                </w:rPr>
                                <w:t>هيكل التعلم</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1257300" y="1600200"/>
                            <a:ext cx="1143000" cy="342900"/>
                          </a:xfrm>
                          <a:prstGeom prst="rect">
                            <a:avLst/>
                          </a:prstGeom>
                          <a:solidFill>
                            <a:srgbClr val="FFFFFF"/>
                          </a:solidFill>
                          <a:ln w="9525">
                            <a:solidFill>
                              <a:srgbClr val="000000"/>
                            </a:solidFill>
                            <a:miter lim="800000"/>
                            <a:headEnd/>
                            <a:tailEnd/>
                          </a:ln>
                        </wps:spPr>
                        <wps:txbx>
                          <w:txbxContent>
                            <w:p w:rsidR="00DA0164" w:rsidRPr="00980E77" w:rsidRDefault="00DA0164" w:rsidP="00DA0164">
                              <w:pPr>
                                <w:jc w:val="center"/>
                                <w:rPr>
                                  <w:rFonts w:hint="cs"/>
                                  <w:b/>
                                  <w:bCs/>
                                  <w:lang w:bidi="ar-EG"/>
                                </w:rPr>
                              </w:pPr>
                              <w:r>
                                <w:rPr>
                                  <w:rFonts w:hint="cs"/>
                                  <w:b/>
                                  <w:bCs/>
                                  <w:rtl/>
                                  <w:lang w:bidi="ar-EG"/>
                                </w:rPr>
                                <w:t>المهمة التعليمية</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114300" y="1600200"/>
                            <a:ext cx="800100" cy="342900"/>
                          </a:xfrm>
                          <a:prstGeom prst="rect">
                            <a:avLst/>
                          </a:prstGeom>
                          <a:solidFill>
                            <a:srgbClr val="FFFFFF"/>
                          </a:solidFill>
                          <a:ln w="9525">
                            <a:solidFill>
                              <a:srgbClr val="000000"/>
                            </a:solidFill>
                            <a:miter lim="800000"/>
                            <a:headEnd/>
                            <a:tailEnd/>
                          </a:ln>
                        </wps:spPr>
                        <wps:txbx>
                          <w:txbxContent>
                            <w:p w:rsidR="00DA0164" w:rsidRPr="00980E77" w:rsidRDefault="00DA0164" w:rsidP="00DA0164">
                              <w:pPr>
                                <w:jc w:val="center"/>
                                <w:rPr>
                                  <w:rFonts w:hint="cs"/>
                                  <w:b/>
                                  <w:bCs/>
                                  <w:sz w:val="22"/>
                                  <w:szCs w:val="22"/>
                                  <w:lang w:bidi="ar-EG"/>
                                </w:rPr>
                              </w:pPr>
                              <w:r w:rsidRPr="00980E77">
                                <w:rPr>
                                  <w:rFonts w:hint="cs"/>
                                  <w:b/>
                                  <w:bCs/>
                                  <w:sz w:val="22"/>
                                  <w:szCs w:val="22"/>
                                  <w:rtl/>
                                  <w:lang w:bidi="ar-EG"/>
                                </w:rPr>
                                <w:t>هيكل القرص</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3771900" y="2400300"/>
                            <a:ext cx="914400" cy="342900"/>
                          </a:xfrm>
                          <a:prstGeom prst="rect">
                            <a:avLst/>
                          </a:prstGeom>
                          <a:solidFill>
                            <a:srgbClr val="FFFFFF"/>
                          </a:solidFill>
                          <a:ln w="9525">
                            <a:solidFill>
                              <a:srgbClr val="000000"/>
                            </a:solidFill>
                            <a:miter lim="800000"/>
                            <a:headEnd/>
                            <a:tailEnd/>
                          </a:ln>
                        </wps:spPr>
                        <wps:txbx>
                          <w:txbxContent>
                            <w:p w:rsidR="00DA0164" w:rsidRPr="00980E77" w:rsidRDefault="00DA0164" w:rsidP="00DA0164">
                              <w:pPr>
                                <w:bidi/>
                                <w:jc w:val="center"/>
                                <w:rPr>
                                  <w:rFonts w:hint="cs"/>
                                  <w:b/>
                                  <w:bCs/>
                                  <w:sz w:val="22"/>
                                  <w:szCs w:val="22"/>
                                  <w:lang w:bidi="ar-EG"/>
                                </w:rPr>
                              </w:pPr>
                              <w:r>
                                <w:rPr>
                                  <w:rFonts w:hint="cs"/>
                                  <w:b/>
                                  <w:bCs/>
                                  <w:sz w:val="22"/>
                                  <w:szCs w:val="22"/>
                                  <w:rtl/>
                                  <w:lang w:bidi="ar-EG"/>
                                </w:rPr>
                                <w:t>غايات التعلم</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2514600" y="2400300"/>
                            <a:ext cx="1028700" cy="342900"/>
                          </a:xfrm>
                          <a:prstGeom prst="rect">
                            <a:avLst/>
                          </a:prstGeom>
                          <a:solidFill>
                            <a:srgbClr val="FFFFFF"/>
                          </a:solidFill>
                          <a:ln w="9525">
                            <a:solidFill>
                              <a:srgbClr val="000000"/>
                            </a:solidFill>
                            <a:miter lim="800000"/>
                            <a:headEnd/>
                            <a:tailEnd/>
                          </a:ln>
                        </wps:spPr>
                        <wps:txbx>
                          <w:txbxContent>
                            <w:p w:rsidR="00DA0164" w:rsidRPr="00980E77" w:rsidRDefault="00DA0164" w:rsidP="00DA0164">
                              <w:pPr>
                                <w:jc w:val="center"/>
                                <w:rPr>
                                  <w:rFonts w:hint="cs"/>
                                  <w:b/>
                                  <w:bCs/>
                                  <w:sz w:val="22"/>
                                  <w:szCs w:val="22"/>
                                  <w:lang w:bidi="ar-EG"/>
                                </w:rPr>
                              </w:pPr>
                              <w:r>
                                <w:rPr>
                                  <w:rFonts w:hint="cs"/>
                                  <w:b/>
                                  <w:bCs/>
                                  <w:sz w:val="22"/>
                                  <w:szCs w:val="22"/>
                                  <w:rtl/>
                                  <w:lang w:bidi="ar-EG"/>
                                </w:rPr>
                                <w:t>جداول التوقيت</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1600200" y="2400300"/>
                            <a:ext cx="685800" cy="342900"/>
                          </a:xfrm>
                          <a:prstGeom prst="rect">
                            <a:avLst/>
                          </a:prstGeom>
                          <a:solidFill>
                            <a:srgbClr val="FFFFFF"/>
                          </a:solidFill>
                          <a:ln w="9525">
                            <a:solidFill>
                              <a:srgbClr val="000000"/>
                            </a:solidFill>
                            <a:miter lim="800000"/>
                            <a:headEnd/>
                            <a:tailEnd/>
                          </a:ln>
                        </wps:spPr>
                        <wps:txbx>
                          <w:txbxContent>
                            <w:p w:rsidR="00DA0164" w:rsidRPr="00980E77" w:rsidRDefault="00DA0164" w:rsidP="00DA0164">
                              <w:pPr>
                                <w:bidi/>
                                <w:jc w:val="center"/>
                                <w:rPr>
                                  <w:rFonts w:hint="cs"/>
                                  <w:b/>
                                  <w:bCs/>
                                  <w:lang w:bidi="ar-EG"/>
                                </w:rPr>
                              </w:pPr>
                              <w:r>
                                <w:rPr>
                                  <w:rFonts w:hint="cs"/>
                                  <w:b/>
                                  <w:bCs/>
                                  <w:rtl/>
                                  <w:lang w:bidi="ar-EG"/>
                                </w:rPr>
                                <w:t>...الخ.</w:t>
                              </w:r>
                            </w:p>
                          </w:txbxContent>
                        </wps:txbx>
                        <wps:bodyPr rot="0" vert="horz" wrap="square" lIns="91440" tIns="45720" rIns="91440" bIns="45720" anchor="t" anchorCtr="0" upright="1">
                          <a:noAutofit/>
                        </wps:bodyPr>
                      </wps:wsp>
                      <wps:wsp>
                        <wps:cNvPr id="14" name="Line 17"/>
                        <wps:cNvCnPr/>
                        <wps:spPr bwMode="auto">
                          <a:xfrm flipH="1">
                            <a:off x="3200400" y="45720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2628900" y="45720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a:off x="1600200" y="45720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2857500" y="11430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flipH="1">
                            <a:off x="2171700" y="137160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2171700" y="13716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1600200" y="11430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685800" y="114300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a:off x="2400300" y="17145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3657600" y="171450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wps:spPr bwMode="auto">
                          <a:xfrm>
                            <a:off x="914400" y="17145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flipV="1">
                            <a:off x="4229100" y="21717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wps:spPr bwMode="auto">
                          <a:xfrm flipH="1">
                            <a:off x="3543300" y="217170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wps:spPr bwMode="auto">
                          <a:xfrm flipV="1">
                            <a:off x="3543300" y="19431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wps:spPr bwMode="auto">
                          <a:xfrm flipV="1">
                            <a:off x="3086100" y="19431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
                        <wps:cNvCnPr/>
                        <wps:spPr bwMode="auto">
                          <a:xfrm flipV="1">
                            <a:off x="2057400" y="194310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لوحة قماشية 30" o:spid="_x0000_s1026" editas="canvas" style="width:6in;height:234pt;mso-position-horizontal-relative:char;mso-position-vertical-relative:line" coordsize="54864,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9718;visibility:visible;mso-wrap-style:square">
                  <v:fill o:detectmouseclick="t"/>
                  <v:path o:connecttype="none"/>
                </v:shape>
                <v:rect id="Rectangle 4" o:spid="_x0000_s1028" style="position:absolute;left:32004;top:1143;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DA0164" w:rsidRPr="00980E77" w:rsidRDefault="00DA0164" w:rsidP="00DA0164">
                        <w:pPr>
                          <w:bidi/>
                          <w:jc w:val="center"/>
                          <w:rPr>
                            <w:rFonts w:hint="cs"/>
                            <w:b/>
                            <w:bCs/>
                            <w:sz w:val="22"/>
                            <w:szCs w:val="22"/>
                            <w:lang w:bidi="ar-EG"/>
                          </w:rPr>
                        </w:pPr>
                        <w:r>
                          <w:rPr>
                            <w:rFonts w:hint="cs"/>
                            <w:b/>
                            <w:bCs/>
                            <w:sz w:val="22"/>
                            <w:szCs w:val="22"/>
                            <w:rtl/>
                            <w:lang w:bidi="ar-EG"/>
                          </w:rPr>
                          <w:t>التصنيف</w:t>
                        </w:r>
                      </w:p>
                    </w:txbxContent>
                  </v:textbox>
                </v:rect>
                <v:rect id="Rectangle 5" o:spid="_x0000_s1029" style="position:absolute;left:21717;top:1143;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DA0164" w:rsidRPr="00980E77" w:rsidRDefault="00DA0164" w:rsidP="00DA0164">
                        <w:pPr>
                          <w:bidi/>
                          <w:jc w:val="center"/>
                          <w:rPr>
                            <w:rFonts w:hint="cs"/>
                            <w:b/>
                            <w:bCs/>
                            <w:sz w:val="22"/>
                            <w:szCs w:val="22"/>
                            <w:lang w:bidi="ar-EG"/>
                          </w:rPr>
                        </w:pPr>
                        <w:r>
                          <w:rPr>
                            <w:rFonts w:hint="cs"/>
                            <w:b/>
                            <w:bCs/>
                            <w:sz w:val="22"/>
                            <w:szCs w:val="22"/>
                            <w:rtl/>
                            <w:lang w:bidi="ar-EG"/>
                          </w:rPr>
                          <w:t>الشرح</w:t>
                        </w:r>
                      </w:p>
                    </w:txbxContent>
                  </v:textbox>
                </v:rect>
                <v:rect id="Rectangle 6" o:spid="_x0000_s1030" style="position:absolute;left:11430;top:1143;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DA0164" w:rsidRPr="00980E77" w:rsidRDefault="00DA0164" w:rsidP="00DA0164">
                        <w:pPr>
                          <w:bidi/>
                          <w:jc w:val="center"/>
                          <w:rPr>
                            <w:rFonts w:hint="cs"/>
                            <w:b/>
                            <w:bCs/>
                            <w:lang w:bidi="ar-EG"/>
                          </w:rPr>
                        </w:pPr>
                        <w:r>
                          <w:rPr>
                            <w:rFonts w:hint="cs"/>
                            <w:b/>
                            <w:bCs/>
                            <w:rtl/>
                            <w:lang w:bidi="ar-EG"/>
                          </w:rPr>
                          <w:t>...الخ.</w:t>
                        </w:r>
                      </w:p>
                    </w:txbxContent>
                  </v:textbox>
                </v:rect>
                <v:rect id="Rectangle 7" o:spid="_x0000_s1031" style="position:absolute;left:24003;top:8007;width:10287;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A0164" w:rsidRPr="00980E77" w:rsidRDefault="00DA0164" w:rsidP="00DA0164">
                        <w:pPr>
                          <w:bidi/>
                          <w:jc w:val="center"/>
                          <w:rPr>
                            <w:rFonts w:hint="cs"/>
                            <w:b/>
                            <w:bCs/>
                            <w:sz w:val="22"/>
                            <w:szCs w:val="22"/>
                            <w:lang w:bidi="ar-EG"/>
                          </w:rPr>
                        </w:pPr>
                        <w:r>
                          <w:rPr>
                            <w:rFonts w:hint="cs"/>
                            <w:b/>
                            <w:bCs/>
                            <w:sz w:val="22"/>
                            <w:szCs w:val="22"/>
                            <w:rtl/>
                            <w:lang w:bidi="ar-EG"/>
                          </w:rPr>
                          <w:t>نوع التصرف</w:t>
                        </w:r>
                      </w:p>
                    </w:txbxContent>
                  </v:textbox>
                </v:rect>
                <v:rect id="Rectangle 8" o:spid="_x0000_s1032" style="position:absolute;left:11430;top:8001;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A0164" w:rsidRPr="00980E77" w:rsidRDefault="00DA0164" w:rsidP="00DA0164">
                        <w:pPr>
                          <w:bidi/>
                          <w:jc w:val="center"/>
                          <w:rPr>
                            <w:rFonts w:hint="cs"/>
                            <w:b/>
                            <w:bCs/>
                            <w:sz w:val="22"/>
                            <w:szCs w:val="22"/>
                            <w:lang w:bidi="ar-EG"/>
                          </w:rPr>
                        </w:pPr>
                        <w:r>
                          <w:rPr>
                            <w:rFonts w:hint="cs"/>
                            <w:b/>
                            <w:bCs/>
                            <w:sz w:val="22"/>
                            <w:szCs w:val="22"/>
                            <w:rtl/>
                            <w:lang w:bidi="ar-EG"/>
                          </w:rPr>
                          <w:t>مستوي الصعوبة</w:t>
                        </w:r>
                      </w:p>
                    </w:txbxContent>
                  </v:textbox>
                </v:rect>
                <v:rect id="Rectangle 9" o:spid="_x0000_s1033" style="position:absolute;left:1143;top:8001;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A0164" w:rsidRPr="00980E77" w:rsidRDefault="00DA0164" w:rsidP="00DA0164">
                        <w:pPr>
                          <w:jc w:val="center"/>
                          <w:rPr>
                            <w:rFonts w:hint="cs"/>
                            <w:b/>
                            <w:bCs/>
                            <w:lang w:bidi="ar-EG"/>
                          </w:rPr>
                        </w:pPr>
                        <w:r>
                          <w:rPr>
                            <w:rFonts w:hint="cs"/>
                            <w:b/>
                            <w:bCs/>
                            <w:rtl/>
                            <w:lang w:bidi="ar-EG"/>
                          </w:rPr>
                          <w:t>...الخ</w:t>
                        </w:r>
                      </w:p>
                    </w:txbxContent>
                  </v:textbox>
                </v:rect>
                <v:rect id="Rectangle 10" o:spid="_x0000_s1034" style="position:absolute;left:41148;top:16002;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A0164" w:rsidRPr="00980E77" w:rsidRDefault="00DA0164" w:rsidP="00DA0164">
                        <w:pPr>
                          <w:bidi/>
                          <w:jc w:val="center"/>
                          <w:rPr>
                            <w:rFonts w:hint="cs"/>
                            <w:b/>
                            <w:bCs/>
                            <w:lang w:bidi="ar-EG"/>
                          </w:rPr>
                        </w:pPr>
                        <w:r>
                          <w:rPr>
                            <w:rFonts w:hint="cs"/>
                            <w:b/>
                            <w:bCs/>
                            <w:rtl/>
                            <w:lang w:bidi="ar-EG"/>
                          </w:rPr>
                          <w:t>المستخدم</w:t>
                        </w:r>
                      </w:p>
                    </w:txbxContent>
                  </v:textbox>
                </v:rect>
                <v:rect id="Rectangle 11" o:spid="_x0000_s1035" style="position:absolute;left:27432;top:16002;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A0164" w:rsidRPr="00980E77" w:rsidRDefault="00DA0164" w:rsidP="00DA0164">
                        <w:pPr>
                          <w:jc w:val="center"/>
                          <w:rPr>
                            <w:rFonts w:hint="cs"/>
                            <w:b/>
                            <w:bCs/>
                            <w:lang w:bidi="ar-EG"/>
                          </w:rPr>
                        </w:pPr>
                        <w:r>
                          <w:rPr>
                            <w:rFonts w:hint="cs"/>
                            <w:b/>
                            <w:bCs/>
                            <w:rtl/>
                            <w:lang w:bidi="ar-EG"/>
                          </w:rPr>
                          <w:t>هيكل التعلم</w:t>
                        </w:r>
                      </w:p>
                    </w:txbxContent>
                  </v:textbox>
                </v:rect>
                <v:rect id="Rectangle 12" o:spid="_x0000_s1036" style="position:absolute;left:12573;top:16002;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DA0164" w:rsidRPr="00980E77" w:rsidRDefault="00DA0164" w:rsidP="00DA0164">
                        <w:pPr>
                          <w:jc w:val="center"/>
                          <w:rPr>
                            <w:rFonts w:hint="cs"/>
                            <w:b/>
                            <w:bCs/>
                            <w:lang w:bidi="ar-EG"/>
                          </w:rPr>
                        </w:pPr>
                        <w:r>
                          <w:rPr>
                            <w:rFonts w:hint="cs"/>
                            <w:b/>
                            <w:bCs/>
                            <w:rtl/>
                            <w:lang w:bidi="ar-EG"/>
                          </w:rPr>
                          <w:t>المهمة التعليمية</w:t>
                        </w:r>
                      </w:p>
                    </w:txbxContent>
                  </v:textbox>
                </v:rect>
                <v:rect id="Rectangle 13" o:spid="_x0000_s1037" style="position:absolute;left:1143;top:16002;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DA0164" w:rsidRPr="00980E77" w:rsidRDefault="00DA0164" w:rsidP="00DA0164">
                        <w:pPr>
                          <w:jc w:val="center"/>
                          <w:rPr>
                            <w:rFonts w:hint="cs"/>
                            <w:b/>
                            <w:bCs/>
                            <w:sz w:val="22"/>
                            <w:szCs w:val="22"/>
                            <w:lang w:bidi="ar-EG"/>
                          </w:rPr>
                        </w:pPr>
                        <w:r w:rsidRPr="00980E77">
                          <w:rPr>
                            <w:rFonts w:hint="cs"/>
                            <w:b/>
                            <w:bCs/>
                            <w:sz w:val="22"/>
                            <w:szCs w:val="22"/>
                            <w:rtl/>
                            <w:lang w:bidi="ar-EG"/>
                          </w:rPr>
                          <w:t>هيكل القرص</w:t>
                        </w:r>
                      </w:p>
                    </w:txbxContent>
                  </v:textbox>
                </v:rect>
                <v:rect id="Rectangle 14" o:spid="_x0000_s1038" style="position:absolute;left:37719;top:24003;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A0164" w:rsidRPr="00980E77" w:rsidRDefault="00DA0164" w:rsidP="00DA0164">
                        <w:pPr>
                          <w:bidi/>
                          <w:jc w:val="center"/>
                          <w:rPr>
                            <w:rFonts w:hint="cs"/>
                            <w:b/>
                            <w:bCs/>
                            <w:sz w:val="22"/>
                            <w:szCs w:val="22"/>
                            <w:lang w:bidi="ar-EG"/>
                          </w:rPr>
                        </w:pPr>
                        <w:r>
                          <w:rPr>
                            <w:rFonts w:hint="cs"/>
                            <w:b/>
                            <w:bCs/>
                            <w:sz w:val="22"/>
                            <w:szCs w:val="22"/>
                            <w:rtl/>
                            <w:lang w:bidi="ar-EG"/>
                          </w:rPr>
                          <w:t>غايات التعلم</w:t>
                        </w:r>
                      </w:p>
                    </w:txbxContent>
                  </v:textbox>
                </v:rect>
                <v:rect id="Rectangle 15" o:spid="_x0000_s1039" style="position:absolute;left:25146;top:24003;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A0164" w:rsidRPr="00980E77" w:rsidRDefault="00DA0164" w:rsidP="00DA0164">
                        <w:pPr>
                          <w:jc w:val="center"/>
                          <w:rPr>
                            <w:rFonts w:hint="cs"/>
                            <w:b/>
                            <w:bCs/>
                            <w:sz w:val="22"/>
                            <w:szCs w:val="22"/>
                            <w:lang w:bidi="ar-EG"/>
                          </w:rPr>
                        </w:pPr>
                        <w:r>
                          <w:rPr>
                            <w:rFonts w:hint="cs"/>
                            <w:b/>
                            <w:bCs/>
                            <w:sz w:val="22"/>
                            <w:szCs w:val="22"/>
                            <w:rtl/>
                            <w:lang w:bidi="ar-EG"/>
                          </w:rPr>
                          <w:t>جداول التوقيت</w:t>
                        </w:r>
                      </w:p>
                    </w:txbxContent>
                  </v:textbox>
                </v:rect>
                <v:rect id="Rectangle 16" o:spid="_x0000_s1040" style="position:absolute;left:16002;top:24003;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DA0164" w:rsidRPr="00980E77" w:rsidRDefault="00DA0164" w:rsidP="00DA0164">
                        <w:pPr>
                          <w:bidi/>
                          <w:jc w:val="center"/>
                          <w:rPr>
                            <w:rFonts w:hint="cs"/>
                            <w:b/>
                            <w:bCs/>
                            <w:lang w:bidi="ar-EG"/>
                          </w:rPr>
                        </w:pPr>
                        <w:r>
                          <w:rPr>
                            <w:rFonts w:hint="cs"/>
                            <w:b/>
                            <w:bCs/>
                            <w:rtl/>
                            <w:lang w:bidi="ar-EG"/>
                          </w:rPr>
                          <w:t>...الخ.</w:t>
                        </w:r>
                      </w:p>
                    </w:txbxContent>
                  </v:textbox>
                </v:rect>
                <v:line id="Line 17" o:spid="_x0000_s1041" style="position:absolute;flip:x;visibility:visible;mso-wrap-style:square" from="32004,4572" to="34290,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8" o:spid="_x0000_s1042" style="position:absolute;visibility:visible;mso-wrap-style:square" from="26289,4572" to="2857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visibility:visible;mso-wrap-style:square" from="16002,4572" to="2400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mso-wrap-style:square" from="28575,11430" to="28575,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flip:x;visibility:visible;mso-wrap-style:square" from="21717,13716" to="28575,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2" o:spid="_x0000_s1046" style="position:absolute;visibility:visible;mso-wrap-style:square" from="21717,13716" to="2171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mso-wrap-style:square" from="16002,11430" to="1600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visibility:visible;mso-wrap-style:square" from="6858,11430" to="1257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9" style="position:absolute;visibility:visible;mso-wrap-style:square" from="24003,17145" to="27432,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50" style="position:absolute;visibility:visible;mso-wrap-style:square" from="36576,17145" to="41148,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7" o:spid="_x0000_s1051" style="position:absolute;visibility:visible;mso-wrap-style:square" from="9144,17145" to="12573,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1052" style="position:absolute;flip:y;visibility:visible;mso-wrap-style:square" from="42291,21717" to="42291,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29" o:spid="_x0000_s1053" style="position:absolute;flip:x;visibility:visible;mso-wrap-style:square" from="35433,21717" to="42291,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30" o:spid="_x0000_s1054" style="position:absolute;flip:y;visibility:visible;mso-wrap-style:square" from="35433,19431" to="35433,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31" o:spid="_x0000_s1055" style="position:absolute;flip:y;visibility:visible;mso-wrap-style:square" from="30861,19431" to="30861,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32" o:spid="_x0000_s1056" style="position:absolute;flip:y;visibility:visible;mso-wrap-style:square" from="20574,19431" to="28575,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w10:wrap anchorx="page"/>
                <w10:anchorlock/>
              </v:group>
            </w:pict>
          </mc:Fallback>
        </mc:AlternateContent>
      </w:r>
    </w:p>
    <w:p w:rsidR="00DA0164" w:rsidRDefault="00DA0164" w:rsidP="00DA0164">
      <w:pPr>
        <w:bidi/>
        <w:jc w:val="both"/>
        <w:rPr>
          <w:rFonts w:cs="Simplified Arabic" w:hint="cs"/>
          <w:b/>
          <w:bCs/>
          <w:sz w:val="28"/>
          <w:szCs w:val="28"/>
          <w:rtl/>
          <w:lang w:bidi="ar-EG"/>
        </w:rPr>
      </w:pPr>
    </w:p>
    <w:p w:rsidR="00DA0164" w:rsidRDefault="00DA0164" w:rsidP="00DA0164">
      <w:pPr>
        <w:bidi/>
        <w:jc w:val="center"/>
        <w:rPr>
          <w:rFonts w:cs="Simplified Arabic" w:hint="cs"/>
          <w:b/>
          <w:bCs/>
          <w:sz w:val="28"/>
          <w:szCs w:val="28"/>
          <w:rtl/>
          <w:lang w:bidi="ar-EG"/>
        </w:rPr>
      </w:pPr>
      <w:r>
        <w:rPr>
          <w:rFonts w:cs="Simplified Arabic" w:hint="cs"/>
          <w:b/>
          <w:bCs/>
          <w:sz w:val="28"/>
          <w:szCs w:val="28"/>
          <w:rtl/>
          <w:lang w:bidi="ar-EG"/>
        </w:rPr>
        <w:t>شكل (4): مداخل نموذج التصميم الوظيفي</w:t>
      </w:r>
    </w:p>
    <w:p w:rsidR="00DA0164" w:rsidRDefault="00DA0164" w:rsidP="00DA0164">
      <w:pPr>
        <w:bidi/>
        <w:jc w:val="both"/>
        <w:rPr>
          <w:rFonts w:cs="Simplified Arabic" w:hint="cs"/>
          <w:b/>
          <w:bCs/>
          <w:sz w:val="28"/>
          <w:szCs w:val="28"/>
          <w:rtl/>
          <w:lang w:bidi="ar-EG"/>
        </w:rPr>
      </w:pPr>
      <w:r>
        <w:rPr>
          <w:rFonts w:cs="Simplified Arabic" w:hint="cs"/>
          <w:b/>
          <w:bCs/>
          <w:sz w:val="28"/>
          <w:szCs w:val="28"/>
          <w:rtl/>
          <w:lang w:bidi="ar-EG"/>
        </w:rPr>
        <w:t xml:space="preserve">وتفسر سيناريوهات التعلم </w:t>
      </w:r>
      <w:r>
        <w:rPr>
          <w:rFonts w:cs="Simplified Arabic"/>
          <w:b/>
          <w:bCs/>
          <w:sz w:val="22"/>
          <w:szCs w:val="22"/>
          <w:lang w:bidi="ar-EG"/>
        </w:rPr>
        <w:t>Learning Scenarios (LS)</w:t>
      </w:r>
      <w:r>
        <w:rPr>
          <w:rFonts w:cs="Simplified Arabic" w:hint="cs"/>
          <w:b/>
          <w:bCs/>
          <w:sz w:val="22"/>
          <w:szCs w:val="22"/>
          <w:rtl/>
          <w:lang w:bidi="ar-EG"/>
        </w:rPr>
        <w:t xml:space="preserve"> </w:t>
      </w:r>
      <w:r>
        <w:rPr>
          <w:rFonts w:cs="Simplified Arabic" w:hint="cs"/>
          <w:b/>
          <w:bCs/>
          <w:sz w:val="28"/>
          <w:szCs w:val="28"/>
          <w:rtl/>
          <w:lang w:bidi="ar-EG"/>
        </w:rPr>
        <w:t xml:space="preserve">كمجموعة من الألفاظ والأوضاع المعينة التي تختص بتعلم المستخدم.  وكل مستخدم سواء كان فرد أو مجموعة من الأشخاص يخصص له سيناريو تعلم أو أكثر. ويجب علي المعلمين أو المدربين أن يحددوا علي مداخل سيناريو التعلم والتعرف عليه، ويخصصون أوجها لتحديده مثل أنماط </w:t>
      </w:r>
      <w:proofErr w:type="spellStart"/>
      <w:r>
        <w:rPr>
          <w:rFonts w:cs="Simplified Arabic" w:hint="cs"/>
          <w:b/>
          <w:bCs/>
          <w:sz w:val="28"/>
          <w:szCs w:val="28"/>
          <w:rtl/>
          <w:lang w:bidi="ar-EG"/>
        </w:rPr>
        <w:t>النعلم</w:t>
      </w:r>
      <w:proofErr w:type="spellEnd"/>
      <w:r>
        <w:rPr>
          <w:rFonts w:cs="Simplified Arabic" w:hint="cs"/>
          <w:b/>
          <w:bCs/>
          <w:sz w:val="28"/>
          <w:szCs w:val="28"/>
          <w:rtl/>
          <w:lang w:bidi="ar-EG"/>
        </w:rPr>
        <w:t xml:space="preserve">، جداول التوقيت، الطرق التعليمية وغايات التعلم. ويكمل كل سيناريو تعلم مهمة تعليمية </w:t>
      </w:r>
      <w:r>
        <w:rPr>
          <w:rFonts w:cs="Simplified Arabic"/>
          <w:b/>
          <w:bCs/>
          <w:sz w:val="22"/>
          <w:szCs w:val="22"/>
          <w:lang w:bidi="ar-EG"/>
        </w:rPr>
        <w:t>Instructional Task</w:t>
      </w:r>
      <w:r>
        <w:rPr>
          <w:rFonts w:cs="Simplified Arabic" w:hint="cs"/>
          <w:b/>
          <w:bCs/>
          <w:sz w:val="22"/>
          <w:szCs w:val="22"/>
          <w:rtl/>
          <w:lang w:bidi="ar-EG"/>
        </w:rPr>
        <w:t xml:space="preserve"> </w:t>
      </w:r>
      <w:r>
        <w:rPr>
          <w:rFonts w:cs="Simplified Arabic" w:hint="cs"/>
          <w:b/>
          <w:bCs/>
          <w:sz w:val="28"/>
          <w:szCs w:val="28"/>
          <w:rtl/>
          <w:lang w:bidi="ar-EG"/>
        </w:rPr>
        <w:t xml:space="preserve">أو أكثر من مهمة التي تفسر كعمليات يجب أن يؤديها المستخدم لتحقيق غاية أو هدف تعلم معين. ونموذج مداخل المهمة التعليمية تمثل الوظائف المرتبطة بواجهة تفاعل هيكل تربوي. </w:t>
      </w:r>
      <w:r>
        <w:rPr>
          <w:rFonts w:cs="Simplified Arabic" w:hint="cs"/>
          <w:b/>
          <w:bCs/>
          <w:sz w:val="28"/>
          <w:szCs w:val="28"/>
          <w:rtl/>
          <w:lang w:bidi="ar-EG"/>
        </w:rPr>
        <w:lastRenderedPageBreak/>
        <w:t xml:space="preserve">ويمكن الوصول للهيكل التربوي أو أكثر من هيكل حتى يمكن وصل هيكل القرص </w:t>
      </w:r>
      <w:r>
        <w:rPr>
          <w:rFonts w:cs="Simplified Arabic"/>
          <w:b/>
          <w:bCs/>
          <w:sz w:val="22"/>
          <w:szCs w:val="22"/>
          <w:lang w:bidi="ar-EG"/>
        </w:rPr>
        <w:t>DS</w:t>
      </w:r>
      <w:r>
        <w:rPr>
          <w:rFonts w:cs="Simplified Arabic" w:hint="cs"/>
          <w:b/>
          <w:bCs/>
          <w:sz w:val="22"/>
          <w:szCs w:val="22"/>
          <w:rtl/>
          <w:lang w:bidi="ar-EG"/>
        </w:rPr>
        <w:t xml:space="preserve"> </w:t>
      </w:r>
      <w:r>
        <w:rPr>
          <w:rFonts w:cs="Simplified Arabic" w:hint="cs"/>
          <w:b/>
          <w:bCs/>
          <w:sz w:val="28"/>
          <w:szCs w:val="28"/>
          <w:rtl/>
          <w:lang w:bidi="ar-EG"/>
        </w:rPr>
        <w:t>بالمهام التعليمية المتعددة.</w:t>
      </w:r>
    </w:p>
    <w:p w:rsidR="00DA0164" w:rsidRDefault="00DA0164" w:rsidP="00DA0164">
      <w:pPr>
        <w:bidi/>
        <w:jc w:val="both"/>
        <w:rPr>
          <w:rFonts w:cs="Simplified Arabic" w:hint="cs"/>
          <w:b/>
          <w:bCs/>
          <w:sz w:val="28"/>
          <w:szCs w:val="28"/>
          <w:rtl/>
          <w:lang w:bidi="ar-EG"/>
        </w:rPr>
      </w:pPr>
      <w:r>
        <w:rPr>
          <w:rFonts w:cs="Simplified Arabic" w:hint="cs"/>
          <w:b/>
          <w:bCs/>
          <w:sz w:val="28"/>
          <w:szCs w:val="28"/>
          <w:rtl/>
          <w:lang w:bidi="ar-EG"/>
        </w:rPr>
        <w:t xml:space="preserve">وترتبط المهام التعليمية بمفهوم برمجيات التصرف </w:t>
      </w:r>
      <w:r>
        <w:rPr>
          <w:rFonts w:cs="Simplified Arabic"/>
          <w:b/>
          <w:bCs/>
          <w:sz w:val="22"/>
          <w:szCs w:val="22"/>
          <w:lang w:bidi="ar-EG"/>
        </w:rPr>
        <w:t>Transaction Shells</w:t>
      </w:r>
      <w:r>
        <w:rPr>
          <w:rFonts w:cs="Simplified Arabic" w:hint="cs"/>
          <w:b/>
          <w:bCs/>
          <w:sz w:val="22"/>
          <w:szCs w:val="22"/>
          <w:rtl/>
          <w:lang w:bidi="ar-EG"/>
        </w:rPr>
        <w:t xml:space="preserve"> </w:t>
      </w:r>
      <w:r>
        <w:rPr>
          <w:rFonts w:cs="Simplified Arabic" w:hint="cs"/>
          <w:b/>
          <w:bCs/>
          <w:sz w:val="28"/>
          <w:szCs w:val="28"/>
          <w:rtl/>
          <w:lang w:bidi="ar-EG"/>
        </w:rPr>
        <w:t xml:space="preserve">في إطار نظرية التصرف التعليمية لميريل التي تشتمل علي قواعد لاختيار وتتابع وحدات المعرفة. </w:t>
      </w:r>
      <w:proofErr w:type="spellStart"/>
      <w:r>
        <w:rPr>
          <w:rFonts w:cs="Simplified Arabic" w:hint="cs"/>
          <w:b/>
          <w:bCs/>
          <w:sz w:val="28"/>
          <w:szCs w:val="28"/>
          <w:rtl/>
          <w:lang w:bidi="ar-EG"/>
        </w:rPr>
        <w:t>وويسهل</w:t>
      </w:r>
      <w:proofErr w:type="spellEnd"/>
      <w:r>
        <w:rPr>
          <w:rFonts w:cs="Simplified Arabic" w:hint="cs"/>
          <w:b/>
          <w:bCs/>
          <w:sz w:val="28"/>
          <w:szCs w:val="28"/>
          <w:rtl/>
          <w:lang w:bidi="ar-EG"/>
        </w:rPr>
        <w:t xml:space="preserve"> ذلك عملية التصميم لأن المعلم يتعامل مع الوحدات التعليمية المختلفة بطريقة أكثر تجريدا. علي سبيل المثال، في إطار اعتمادية هيكل القرص </w:t>
      </w:r>
      <w:r>
        <w:rPr>
          <w:rFonts w:cs="Simplified Arabic"/>
          <w:b/>
          <w:bCs/>
          <w:sz w:val="22"/>
          <w:szCs w:val="22"/>
          <w:lang w:bidi="ar-EG"/>
        </w:rPr>
        <w:t>DS</w:t>
      </w:r>
      <w:r>
        <w:rPr>
          <w:rFonts w:cs="Simplified Arabic" w:hint="cs"/>
          <w:b/>
          <w:bCs/>
          <w:sz w:val="22"/>
          <w:szCs w:val="22"/>
          <w:rtl/>
          <w:lang w:bidi="ar-EG"/>
        </w:rPr>
        <w:t xml:space="preserve"> </w:t>
      </w:r>
      <w:r>
        <w:rPr>
          <w:rFonts w:cs="Simplified Arabic" w:hint="cs"/>
          <w:b/>
          <w:bCs/>
          <w:sz w:val="28"/>
          <w:szCs w:val="28"/>
          <w:rtl/>
          <w:lang w:bidi="ar-EG"/>
        </w:rPr>
        <w:t xml:space="preserve">فإن مكونات الوحدة التعليمية تعتبر كلها كعناصر سلسة بدون تفريق بينها. وأن المهمة التعليمية مثل "الشرح" تحدد عمليات الإبحار عبر فصول هيكل الاعتمادية ، وبذلك يمكن أن تتضمن عملية الإبحار علي اختيار فصل معين الذي يمكن أن يعتمد علي نماذج تعلم مثل "التعلم بواسطة الأمثلة </w:t>
      </w:r>
      <w:r>
        <w:rPr>
          <w:rFonts w:cs="Simplified Arabic"/>
          <w:b/>
          <w:bCs/>
          <w:sz w:val="22"/>
          <w:szCs w:val="22"/>
          <w:lang w:bidi="ar-EG"/>
        </w:rPr>
        <w:t>Learning by examples</w:t>
      </w:r>
      <w:r>
        <w:rPr>
          <w:rFonts w:cs="Simplified Arabic" w:hint="cs"/>
          <w:b/>
          <w:bCs/>
          <w:sz w:val="28"/>
          <w:szCs w:val="28"/>
          <w:rtl/>
          <w:lang w:bidi="ar-EG"/>
        </w:rPr>
        <w:t xml:space="preserve">" ، "التعلم بواسطة العمل </w:t>
      </w:r>
      <w:r>
        <w:rPr>
          <w:rFonts w:cs="Simplified Arabic"/>
          <w:b/>
          <w:bCs/>
          <w:sz w:val="22"/>
          <w:szCs w:val="22"/>
          <w:lang w:bidi="ar-EG"/>
        </w:rPr>
        <w:t>Learning by work / doing</w:t>
      </w:r>
      <w:r>
        <w:rPr>
          <w:rFonts w:cs="Simplified Arabic" w:hint="cs"/>
          <w:b/>
          <w:bCs/>
          <w:sz w:val="28"/>
          <w:szCs w:val="28"/>
          <w:rtl/>
          <w:lang w:bidi="ar-EG"/>
        </w:rPr>
        <w:t xml:space="preserve">" ، أو "التعلم بواسطة الاكتشاف </w:t>
      </w:r>
      <w:r>
        <w:rPr>
          <w:rFonts w:cs="Simplified Arabic"/>
          <w:b/>
          <w:bCs/>
          <w:sz w:val="22"/>
          <w:szCs w:val="22"/>
          <w:lang w:bidi="ar-EG"/>
        </w:rPr>
        <w:t>Learning by exploring</w:t>
      </w:r>
      <w:r>
        <w:rPr>
          <w:rFonts w:cs="Simplified Arabic" w:hint="cs"/>
          <w:b/>
          <w:bCs/>
          <w:sz w:val="28"/>
          <w:szCs w:val="28"/>
          <w:rtl/>
          <w:lang w:bidi="ar-EG"/>
        </w:rPr>
        <w:t xml:space="preserve">" ..الخ. وفيما يرتبط بالتعلم بواسطة الأمثلة فإن مهمة الشرح تبني علي مراجعة مثال ما للوحدات التعليمية، بينما تتضمن الحالات </w:t>
      </w:r>
      <w:proofErr w:type="spellStart"/>
      <w:r>
        <w:rPr>
          <w:rFonts w:cs="Simplified Arabic" w:hint="cs"/>
          <w:b/>
          <w:bCs/>
          <w:sz w:val="28"/>
          <w:szCs w:val="28"/>
          <w:rtl/>
          <w:lang w:bidi="ar-EG"/>
        </w:rPr>
        <w:t>الأخري</w:t>
      </w:r>
      <w:proofErr w:type="spellEnd"/>
      <w:r>
        <w:rPr>
          <w:rFonts w:cs="Simplified Arabic" w:hint="cs"/>
          <w:b/>
          <w:bCs/>
          <w:sz w:val="28"/>
          <w:szCs w:val="28"/>
          <w:rtl/>
          <w:lang w:bidi="ar-EG"/>
        </w:rPr>
        <w:t xml:space="preserve"> العمل مع نشاط الوحدات التعليمية. وأحد المسئوليات الرئيسية للمعلم يتمثل في تفسير المهام التعليمية المرتبطة بكل هيكل قرص </w:t>
      </w:r>
      <w:proofErr w:type="spellStart"/>
      <w:r>
        <w:rPr>
          <w:rFonts w:cs="Simplified Arabic" w:hint="cs"/>
          <w:b/>
          <w:bCs/>
          <w:sz w:val="28"/>
          <w:szCs w:val="28"/>
          <w:rtl/>
          <w:lang w:bidi="ar-EG"/>
        </w:rPr>
        <w:t>قرص</w:t>
      </w:r>
      <w:proofErr w:type="spellEnd"/>
      <w:r>
        <w:rPr>
          <w:rFonts w:cs="Simplified Arabic" w:hint="cs"/>
          <w:b/>
          <w:bCs/>
          <w:sz w:val="28"/>
          <w:szCs w:val="28"/>
          <w:rtl/>
          <w:lang w:bidi="ar-EG"/>
        </w:rPr>
        <w:t xml:space="preserve"> </w:t>
      </w:r>
      <w:r>
        <w:rPr>
          <w:rFonts w:cs="Simplified Arabic"/>
          <w:b/>
          <w:bCs/>
          <w:sz w:val="22"/>
          <w:szCs w:val="22"/>
          <w:lang w:bidi="ar-EG"/>
        </w:rPr>
        <w:t>DS</w:t>
      </w:r>
      <w:r>
        <w:rPr>
          <w:rFonts w:cs="Simplified Arabic" w:hint="cs"/>
          <w:b/>
          <w:bCs/>
          <w:sz w:val="28"/>
          <w:szCs w:val="28"/>
          <w:rtl/>
          <w:lang w:bidi="ar-EG"/>
        </w:rPr>
        <w:t xml:space="preserve">. ويعتبر هذا التفسير مهمة يدوية أو مهمة متعبة وأن ترقيم لغة </w:t>
      </w:r>
      <w:proofErr w:type="spellStart"/>
      <w:r>
        <w:rPr>
          <w:rFonts w:cs="Simplified Arabic" w:hint="cs"/>
          <w:b/>
          <w:bCs/>
          <w:sz w:val="28"/>
          <w:szCs w:val="28"/>
          <w:rtl/>
          <w:lang w:bidi="ar-EG"/>
        </w:rPr>
        <w:t>النمذجة</w:t>
      </w:r>
      <w:proofErr w:type="spellEnd"/>
      <w:r>
        <w:rPr>
          <w:rFonts w:cs="Simplified Arabic" w:hint="cs"/>
          <w:b/>
          <w:bCs/>
          <w:sz w:val="28"/>
          <w:szCs w:val="28"/>
          <w:rtl/>
          <w:lang w:bidi="ar-EG"/>
        </w:rPr>
        <w:t xml:space="preserve"> التعليمية </w:t>
      </w:r>
      <w:r>
        <w:rPr>
          <w:rFonts w:cs="Simplified Arabic"/>
          <w:b/>
          <w:bCs/>
          <w:sz w:val="22"/>
          <w:szCs w:val="22"/>
          <w:lang w:bidi="ar-EG"/>
        </w:rPr>
        <w:t>EML</w:t>
      </w:r>
      <w:r>
        <w:rPr>
          <w:rFonts w:cs="Simplified Arabic" w:hint="cs"/>
          <w:b/>
          <w:bCs/>
          <w:sz w:val="28"/>
          <w:szCs w:val="28"/>
          <w:rtl/>
          <w:lang w:bidi="ar-EG"/>
        </w:rPr>
        <w:t xml:space="preserve"> يطور لمساعدة المعلم في عمليته التدريسية.</w:t>
      </w:r>
    </w:p>
    <w:p w:rsidR="00DA0164" w:rsidRDefault="00DA0164" w:rsidP="00DA0164">
      <w:pPr>
        <w:bidi/>
        <w:jc w:val="both"/>
        <w:rPr>
          <w:rFonts w:cs="Simplified Arabic" w:hint="cs"/>
          <w:b/>
          <w:bCs/>
          <w:sz w:val="36"/>
          <w:szCs w:val="36"/>
          <w:rtl/>
          <w:lang w:bidi="ar-EG"/>
        </w:rPr>
      </w:pPr>
      <w:r>
        <w:rPr>
          <w:rFonts w:cs="Simplified Arabic" w:hint="cs"/>
          <w:b/>
          <w:bCs/>
          <w:sz w:val="36"/>
          <w:szCs w:val="36"/>
          <w:u w:val="single"/>
          <w:rtl/>
          <w:lang w:bidi="ar-EG"/>
        </w:rPr>
        <w:t>المراجع</w:t>
      </w:r>
      <w:r>
        <w:rPr>
          <w:rFonts w:cs="Simplified Arabic" w:hint="cs"/>
          <w:b/>
          <w:bCs/>
          <w:sz w:val="36"/>
          <w:szCs w:val="36"/>
          <w:rtl/>
          <w:lang w:bidi="ar-EG"/>
        </w:rPr>
        <w:t>:</w:t>
      </w:r>
    </w:p>
    <w:p w:rsidR="00DA0164" w:rsidRDefault="00DA0164" w:rsidP="00DA0164">
      <w:pPr>
        <w:numPr>
          <w:ilvl w:val="0"/>
          <w:numId w:val="1"/>
        </w:numPr>
        <w:rPr>
          <w:rFonts w:cs="Andalus"/>
          <w:b/>
          <w:bCs/>
          <w:sz w:val="22"/>
          <w:szCs w:val="22"/>
          <w:lang w:bidi="ar-EG"/>
        </w:rPr>
      </w:pPr>
      <w:proofErr w:type="spellStart"/>
      <w:r>
        <w:rPr>
          <w:rFonts w:cs="Andalus"/>
          <w:b/>
          <w:bCs/>
          <w:sz w:val="22"/>
          <w:szCs w:val="22"/>
          <w:lang w:bidi="ar-EG"/>
        </w:rPr>
        <w:t>Buendia</w:t>
      </w:r>
      <w:proofErr w:type="spellEnd"/>
      <w:r>
        <w:rPr>
          <w:rFonts w:cs="Andalus"/>
          <w:b/>
          <w:bCs/>
          <w:sz w:val="22"/>
          <w:szCs w:val="22"/>
          <w:lang w:bidi="ar-EG"/>
        </w:rPr>
        <w:t xml:space="preserve">, F., et al [2001]. XEDU: A framework for developing XML-based didactic resources. </w:t>
      </w:r>
      <w:proofErr w:type="spellStart"/>
      <w:r>
        <w:rPr>
          <w:rFonts w:cs="Andalus"/>
          <w:b/>
          <w:bCs/>
          <w:sz w:val="22"/>
          <w:szCs w:val="22"/>
          <w:lang w:bidi="ar-EG"/>
        </w:rPr>
        <w:t>Subted</w:t>
      </w:r>
      <w:proofErr w:type="spellEnd"/>
      <w:r>
        <w:rPr>
          <w:rFonts w:cs="Andalus"/>
          <w:b/>
          <w:bCs/>
          <w:sz w:val="22"/>
          <w:szCs w:val="22"/>
          <w:lang w:bidi="ar-EG"/>
        </w:rPr>
        <w:t xml:space="preserve"> to: </w:t>
      </w:r>
      <w:proofErr w:type="spellStart"/>
      <w:r>
        <w:rPr>
          <w:rFonts w:cs="Andalus"/>
          <w:b/>
          <w:bCs/>
          <w:sz w:val="22"/>
          <w:szCs w:val="22"/>
          <w:lang w:bidi="ar-EG"/>
        </w:rPr>
        <w:t>EuroMicro</w:t>
      </w:r>
      <w:proofErr w:type="spellEnd"/>
      <w:r>
        <w:rPr>
          <w:rFonts w:cs="Andalus"/>
          <w:b/>
          <w:bCs/>
          <w:sz w:val="22"/>
          <w:szCs w:val="22"/>
          <w:lang w:bidi="ar-EG"/>
        </w:rPr>
        <w:t>’ 01, pp. 427-434.</w:t>
      </w:r>
    </w:p>
    <w:p w:rsidR="00DA0164" w:rsidRDefault="00DA0164" w:rsidP="00DA0164">
      <w:pPr>
        <w:numPr>
          <w:ilvl w:val="0"/>
          <w:numId w:val="1"/>
        </w:numPr>
        <w:rPr>
          <w:rFonts w:cs="Andalus"/>
          <w:b/>
          <w:bCs/>
          <w:sz w:val="22"/>
          <w:szCs w:val="22"/>
          <w:lang w:bidi="ar-EG"/>
        </w:rPr>
      </w:pPr>
      <w:r>
        <w:rPr>
          <w:rFonts w:cs="Andalus"/>
          <w:b/>
          <w:bCs/>
          <w:sz w:val="22"/>
          <w:szCs w:val="22"/>
          <w:lang w:bidi="ar-EG"/>
        </w:rPr>
        <w:t xml:space="preserve">Duval, E. [2001]. Standardized\metadata for education: A status report. In: Proceedings of ED-MEDIA 2001, </w:t>
      </w:r>
      <w:proofErr w:type="spellStart"/>
      <w:smartTag w:uri="urn:schemas-microsoft-com:office:smarttags" w:element="place">
        <w:smartTag w:uri="urn:schemas-microsoft-com:office:smarttags" w:element="City">
          <w:r>
            <w:rPr>
              <w:rFonts w:cs="Andalus"/>
              <w:b/>
              <w:bCs/>
              <w:sz w:val="22"/>
              <w:szCs w:val="22"/>
              <w:lang w:bidi="ar-EG"/>
            </w:rPr>
            <w:t>Tempere</w:t>
          </w:r>
        </w:smartTag>
        <w:proofErr w:type="spellEnd"/>
        <w:r>
          <w:rPr>
            <w:rFonts w:cs="Andalus"/>
            <w:b/>
            <w:bCs/>
            <w:sz w:val="22"/>
            <w:szCs w:val="22"/>
            <w:lang w:bidi="ar-EG"/>
          </w:rPr>
          <w:t xml:space="preserve">, </w:t>
        </w:r>
        <w:smartTag w:uri="urn:schemas-microsoft-com:office:smarttags" w:element="country-region">
          <w:r>
            <w:rPr>
              <w:rFonts w:cs="Andalus"/>
              <w:b/>
              <w:bCs/>
              <w:sz w:val="22"/>
              <w:szCs w:val="22"/>
              <w:lang w:bidi="ar-EG"/>
            </w:rPr>
            <w:t>Finland</w:t>
          </w:r>
        </w:smartTag>
      </w:smartTag>
      <w:r>
        <w:rPr>
          <w:rFonts w:cs="Andalus"/>
          <w:b/>
          <w:bCs/>
          <w:sz w:val="22"/>
          <w:szCs w:val="22"/>
          <w:lang w:bidi="ar-EG"/>
        </w:rPr>
        <w:t>, pp. 458-463.</w:t>
      </w:r>
    </w:p>
    <w:p w:rsidR="00DA0164" w:rsidRDefault="00DA0164" w:rsidP="00DA0164">
      <w:pPr>
        <w:numPr>
          <w:ilvl w:val="0"/>
          <w:numId w:val="1"/>
        </w:numPr>
        <w:rPr>
          <w:rFonts w:cs="Andalus"/>
          <w:b/>
          <w:bCs/>
          <w:sz w:val="22"/>
          <w:szCs w:val="22"/>
          <w:lang w:bidi="ar-EG"/>
        </w:rPr>
      </w:pPr>
      <w:r>
        <w:rPr>
          <w:rFonts w:cs="Andalus"/>
          <w:b/>
          <w:bCs/>
          <w:sz w:val="22"/>
          <w:szCs w:val="22"/>
          <w:lang w:bidi="ar-EG"/>
        </w:rPr>
        <w:t>Koper, R. [2001]. Modeling units of study from a pedagogical perspective: The pedagogical meta-model behind EML. [http://eml.ou.nl/introduction/docs/ped-metamodel.pdf]</w:t>
      </w:r>
    </w:p>
    <w:p w:rsidR="00DA0164" w:rsidRDefault="00DA0164" w:rsidP="00DA0164">
      <w:pPr>
        <w:numPr>
          <w:ilvl w:val="0"/>
          <w:numId w:val="1"/>
        </w:numPr>
        <w:rPr>
          <w:rFonts w:cs="Andalus"/>
          <w:b/>
          <w:bCs/>
          <w:sz w:val="22"/>
          <w:szCs w:val="22"/>
          <w:lang w:bidi="ar-EG"/>
        </w:rPr>
      </w:pPr>
      <w:r>
        <w:rPr>
          <w:rFonts w:cs="Andalus"/>
          <w:b/>
          <w:bCs/>
          <w:sz w:val="22"/>
          <w:szCs w:val="22"/>
          <w:lang w:bidi="ar-EG"/>
        </w:rPr>
        <w:t xml:space="preserve">Merrill, M. D. &amp; ID2 Research Team [1996]. Instructional transaction theory: Instructional design based on knowledge objects, </w:t>
      </w:r>
      <w:r>
        <w:rPr>
          <w:rFonts w:cs="Andalus"/>
          <w:b/>
          <w:bCs/>
          <w:sz w:val="22"/>
          <w:szCs w:val="22"/>
          <w:u w:val="single"/>
          <w:lang w:bidi="ar-EG"/>
        </w:rPr>
        <w:t>Educational Technology,</w:t>
      </w:r>
      <w:r>
        <w:rPr>
          <w:rFonts w:cs="Andalus"/>
          <w:b/>
          <w:bCs/>
          <w:sz w:val="22"/>
          <w:szCs w:val="22"/>
          <w:lang w:bidi="ar-EG"/>
        </w:rPr>
        <w:t xml:space="preserve"> Vol. 36, No. 3, pp. 30-37.</w:t>
      </w:r>
    </w:p>
    <w:p w:rsidR="00DA0164" w:rsidRDefault="00DA0164" w:rsidP="00DA0164">
      <w:pPr>
        <w:numPr>
          <w:ilvl w:val="0"/>
          <w:numId w:val="1"/>
        </w:numPr>
        <w:rPr>
          <w:rFonts w:cs="Andalus"/>
          <w:b/>
          <w:bCs/>
          <w:sz w:val="22"/>
          <w:szCs w:val="22"/>
          <w:lang w:bidi="ar-EG"/>
        </w:rPr>
      </w:pPr>
      <w:r>
        <w:rPr>
          <w:rFonts w:cs="Andalus"/>
          <w:b/>
          <w:bCs/>
          <w:sz w:val="22"/>
          <w:szCs w:val="22"/>
          <w:lang w:bidi="ar-EG"/>
        </w:rPr>
        <w:t>Rodriguez-</w:t>
      </w:r>
      <w:proofErr w:type="spellStart"/>
      <w:r>
        <w:rPr>
          <w:rFonts w:cs="Andalus"/>
          <w:b/>
          <w:bCs/>
          <w:sz w:val="22"/>
          <w:szCs w:val="22"/>
          <w:lang w:bidi="ar-EG"/>
        </w:rPr>
        <w:t>Artacho</w:t>
      </w:r>
      <w:proofErr w:type="spellEnd"/>
      <w:r>
        <w:rPr>
          <w:rFonts w:cs="Andalus"/>
          <w:b/>
          <w:bCs/>
          <w:sz w:val="22"/>
          <w:szCs w:val="22"/>
          <w:lang w:bidi="ar-EG"/>
        </w:rPr>
        <w:t xml:space="preserve">, M. et al [1999]. Using a high-level language to describe and create Web-based learning scenarios frontiers. In: Education Conference FIE’99 IEEE Computer Society, </w:t>
      </w:r>
      <w:smartTag w:uri="urn:schemas-microsoft-com:office:smarttags" w:element="City">
        <w:smartTag w:uri="urn:schemas-microsoft-com:office:smarttags" w:element="place">
          <w:r>
            <w:rPr>
              <w:rFonts w:cs="Andalus"/>
              <w:b/>
              <w:bCs/>
              <w:sz w:val="22"/>
              <w:szCs w:val="22"/>
              <w:lang w:bidi="ar-EG"/>
            </w:rPr>
            <w:t>San Juan</w:t>
          </w:r>
        </w:smartTag>
      </w:smartTag>
      <w:r>
        <w:rPr>
          <w:rFonts w:cs="Andalus"/>
          <w:b/>
          <w:bCs/>
          <w:sz w:val="22"/>
          <w:szCs w:val="22"/>
          <w:lang w:bidi="ar-EG"/>
        </w:rPr>
        <w:t xml:space="preserve">, </w:t>
      </w:r>
      <w:smartTag w:uri="urn:schemas-microsoft-com:office:smarttags" w:element="place">
        <w:r>
          <w:rPr>
            <w:rFonts w:cs="Andalus"/>
            <w:b/>
            <w:bCs/>
            <w:sz w:val="22"/>
            <w:szCs w:val="22"/>
            <w:lang w:bidi="ar-EG"/>
          </w:rPr>
          <w:t>Puerto Rico</w:t>
        </w:r>
      </w:smartTag>
      <w:r>
        <w:rPr>
          <w:rFonts w:cs="Andalus"/>
          <w:b/>
          <w:bCs/>
          <w:sz w:val="22"/>
          <w:szCs w:val="22"/>
          <w:lang w:bidi="ar-EG"/>
        </w:rPr>
        <w:t xml:space="preserve">. </w:t>
      </w:r>
    </w:p>
    <w:p w:rsidR="00DA0164" w:rsidRDefault="00DA0164" w:rsidP="00DA0164">
      <w:pPr>
        <w:numPr>
          <w:ilvl w:val="0"/>
          <w:numId w:val="1"/>
        </w:numPr>
        <w:rPr>
          <w:rFonts w:cs="Andalus"/>
          <w:b/>
          <w:bCs/>
          <w:sz w:val="22"/>
          <w:szCs w:val="22"/>
          <w:lang w:bidi="ar-EG"/>
        </w:rPr>
      </w:pPr>
      <w:proofErr w:type="spellStart"/>
      <w:r>
        <w:rPr>
          <w:rFonts w:cs="Andalus"/>
          <w:b/>
          <w:bCs/>
          <w:sz w:val="22"/>
          <w:szCs w:val="22"/>
          <w:lang w:bidi="ar-EG"/>
        </w:rPr>
        <w:t>Silberthom</w:t>
      </w:r>
      <w:proofErr w:type="spellEnd"/>
      <w:r>
        <w:rPr>
          <w:rFonts w:cs="Andalus"/>
          <w:b/>
          <w:bCs/>
          <w:sz w:val="22"/>
          <w:szCs w:val="22"/>
          <w:lang w:bidi="ar-EG"/>
        </w:rPr>
        <w:t xml:space="preserve">, H and </w:t>
      </w:r>
      <w:proofErr w:type="spellStart"/>
      <w:r>
        <w:rPr>
          <w:rFonts w:cs="Andalus"/>
          <w:b/>
          <w:bCs/>
          <w:sz w:val="22"/>
          <w:szCs w:val="22"/>
          <w:lang w:bidi="ar-EG"/>
        </w:rPr>
        <w:t>Gaeda</w:t>
      </w:r>
      <w:proofErr w:type="spellEnd"/>
      <w:r>
        <w:rPr>
          <w:rFonts w:cs="Andalus"/>
          <w:b/>
          <w:bCs/>
          <w:sz w:val="22"/>
          <w:szCs w:val="22"/>
          <w:lang w:bidi="ar-EG"/>
        </w:rPr>
        <w:t>, B. [1999]. IMSDL: Instructional, material structure description language, 7</w:t>
      </w:r>
      <w:r w:rsidRPr="00D05C66">
        <w:rPr>
          <w:rFonts w:cs="Andalus"/>
          <w:b/>
          <w:bCs/>
          <w:sz w:val="22"/>
          <w:szCs w:val="22"/>
          <w:vertAlign w:val="superscript"/>
          <w:lang w:bidi="ar-EG"/>
        </w:rPr>
        <w:t>th</w:t>
      </w:r>
      <w:r>
        <w:rPr>
          <w:rFonts w:cs="Andalus"/>
          <w:b/>
          <w:bCs/>
          <w:sz w:val="22"/>
          <w:szCs w:val="22"/>
          <w:lang w:bidi="ar-EG"/>
        </w:rPr>
        <w:t xml:space="preserve"> BOBCATSSS Symposium on Learning Society, Learning Organization, Lifelong  Learning, </w:t>
      </w:r>
      <w:smartTag w:uri="urn:schemas-microsoft-com:office:smarttags" w:element="place">
        <w:smartTag w:uri="urn:schemas-microsoft-com:office:smarttags" w:element="City">
          <w:r>
            <w:rPr>
              <w:rFonts w:cs="Andalus"/>
              <w:b/>
              <w:bCs/>
              <w:sz w:val="22"/>
              <w:szCs w:val="22"/>
              <w:lang w:bidi="ar-EG"/>
            </w:rPr>
            <w:t>Bratislava</w:t>
          </w:r>
        </w:smartTag>
      </w:smartTag>
      <w:r>
        <w:rPr>
          <w:rFonts w:cs="Andalus"/>
          <w:b/>
          <w:bCs/>
          <w:sz w:val="22"/>
          <w:szCs w:val="22"/>
          <w:lang w:bidi="ar-EG"/>
        </w:rPr>
        <w:t>.</w:t>
      </w:r>
    </w:p>
    <w:p w:rsidR="00DA0164" w:rsidRDefault="00DA0164" w:rsidP="00DA0164">
      <w:pPr>
        <w:numPr>
          <w:ilvl w:val="0"/>
          <w:numId w:val="1"/>
        </w:numPr>
        <w:rPr>
          <w:rFonts w:cs="Andalus"/>
          <w:b/>
          <w:bCs/>
          <w:sz w:val="22"/>
          <w:szCs w:val="22"/>
          <w:lang w:bidi="ar-EG"/>
        </w:rPr>
      </w:pPr>
      <w:proofErr w:type="spellStart"/>
      <w:r>
        <w:rPr>
          <w:rFonts w:cs="Andalus"/>
          <w:b/>
          <w:bCs/>
          <w:sz w:val="22"/>
          <w:szCs w:val="22"/>
          <w:lang w:bidi="ar-EG"/>
        </w:rPr>
        <w:t>Stenacher</w:t>
      </w:r>
      <w:proofErr w:type="spellEnd"/>
      <w:r>
        <w:rPr>
          <w:rFonts w:cs="Andalus"/>
          <w:b/>
          <w:bCs/>
          <w:sz w:val="22"/>
          <w:szCs w:val="22"/>
          <w:lang w:bidi="ar-EG"/>
        </w:rPr>
        <w:t>, A. et al [1999]. Dynamically generated tables of contents as guided tours. In: Adaptive Hypermedia Systems Proceedings of ED-MEDIA, June 1999.</w:t>
      </w:r>
    </w:p>
    <w:p w:rsidR="00DA0164" w:rsidRDefault="00DA0164" w:rsidP="00DA0164">
      <w:pPr>
        <w:numPr>
          <w:ilvl w:val="0"/>
          <w:numId w:val="1"/>
        </w:numPr>
        <w:rPr>
          <w:rFonts w:cs="Andalus"/>
          <w:b/>
          <w:bCs/>
          <w:sz w:val="22"/>
          <w:szCs w:val="22"/>
          <w:lang w:bidi="ar-EG"/>
        </w:rPr>
      </w:pPr>
      <w:r>
        <w:rPr>
          <w:rFonts w:cs="Andalus"/>
          <w:b/>
          <w:bCs/>
          <w:sz w:val="22"/>
          <w:szCs w:val="22"/>
          <w:lang w:bidi="ar-EG"/>
        </w:rPr>
        <w:t xml:space="preserve">Sub, c. et al [2000]. </w:t>
      </w:r>
      <w:proofErr w:type="spellStart"/>
      <w:r>
        <w:rPr>
          <w:rFonts w:cs="Andalus"/>
          <w:b/>
          <w:bCs/>
          <w:sz w:val="22"/>
          <w:szCs w:val="22"/>
          <w:lang w:bidi="ar-EG"/>
        </w:rPr>
        <w:t>Teachware</w:t>
      </w:r>
      <w:proofErr w:type="spellEnd"/>
      <w:r>
        <w:rPr>
          <w:rFonts w:cs="Andalus"/>
          <w:b/>
          <w:bCs/>
          <w:sz w:val="22"/>
          <w:szCs w:val="22"/>
          <w:lang w:bidi="ar-EG"/>
        </w:rPr>
        <w:t xml:space="preserve"> framework for multiple teaching strategies. In: Proceedings of ED-MEDIA 2000, World Conference on Educational Multimedia, Hypermedia &amp; Telecommunications. </w:t>
      </w:r>
      <w:smartTag w:uri="urn:schemas-microsoft-com:office:smarttags" w:element="place">
        <w:smartTag w:uri="urn:schemas-microsoft-com:office:smarttags" w:element="City">
          <w:r>
            <w:rPr>
              <w:rFonts w:cs="Andalus"/>
              <w:b/>
              <w:bCs/>
              <w:sz w:val="22"/>
              <w:szCs w:val="22"/>
              <w:lang w:bidi="ar-EG"/>
            </w:rPr>
            <w:t>Montreal</w:t>
          </w:r>
        </w:smartTag>
        <w:r>
          <w:rPr>
            <w:rFonts w:cs="Andalus"/>
            <w:b/>
            <w:bCs/>
            <w:sz w:val="22"/>
            <w:szCs w:val="22"/>
            <w:lang w:bidi="ar-EG"/>
          </w:rPr>
          <w:t xml:space="preserve">, </w:t>
        </w:r>
        <w:smartTag w:uri="urn:schemas-microsoft-com:office:smarttags" w:element="State">
          <w:r>
            <w:rPr>
              <w:rFonts w:cs="Andalus"/>
              <w:b/>
              <w:bCs/>
              <w:sz w:val="22"/>
              <w:szCs w:val="22"/>
              <w:lang w:bidi="ar-EG"/>
            </w:rPr>
            <w:t>Quebec</w:t>
          </w:r>
        </w:smartTag>
      </w:smartTag>
      <w:r>
        <w:rPr>
          <w:rFonts w:cs="Andalus"/>
          <w:b/>
          <w:bCs/>
          <w:sz w:val="22"/>
          <w:szCs w:val="22"/>
          <w:lang w:bidi="ar-EG"/>
        </w:rPr>
        <w:t>.</w:t>
      </w:r>
    </w:p>
    <w:p w:rsidR="00DA0164" w:rsidRDefault="00DA0164" w:rsidP="00DA0164">
      <w:pPr>
        <w:numPr>
          <w:ilvl w:val="0"/>
          <w:numId w:val="1"/>
        </w:numPr>
        <w:rPr>
          <w:rFonts w:cs="Andalus"/>
          <w:b/>
          <w:bCs/>
          <w:sz w:val="22"/>
          <w:szCs w:val="22"/>
          <w:lang w:bidi="ar-EG"/>
        </w:rPr>
      </w:pPr>
      <w:proofErr w:type="spellStart"/>
      <w:r>
        <w:rPr>
          <w:rFonts w:cs="Andalus"/>
          <w:b/>
          <w:bCs/>
          <w:sz w:val="22"/>
          <w:szCs w:val="22"/>
          <w:lang w:bidi="ar-EG"/>
        </w:rPr>
        <w:t>Teege</w:t>
      </w:r>
      <w:proofErr w:type="spellEnd"/>
      <w:r>
        <w:rPr>
          <w:rFonts w:cs="Andalus"/>
          <w:b/>
          <w:bCs/>
          <w:sz w:val="22"/>
          <w:szCs w:val="22"/>
          <w:lang w:bidi="ar-EG"/>
        </w:rPr>
        <w:t xml:space="preserve">, C. [2000]. </w:t>
      </w:r>
      <w:proofErr w:type="spellStart"/>
      <w:r>
        <w:rPr>
          <w:rFonts w:cs="Andalus"/>
          <w:b/>
          <w:bCs/>
          <w:sz w:val="22"/>
          <w:szCs w:val="22"/>
          <w:lang w:bidi="ar-EG"/>
        </w:rPr>
        <w:t>Targeteam</w:t>
      </w:r>
      <w:proofErr w:type="spellEnd"/>
      <w:r>
        <w:rPr>
          <w:rFonts w:cs="Andalus"/>
          <w:b/>
          <w:bCs/>
          <w:sz w:val="22"/>
          <w:szCs w:val="22"/>
          <w:lang w:bidi="ar-EG"/>
        </w:rPr>
        <w:t xml:space="preserve">, Targeted reuse and generation of </w:t>
      </w:r>
      <w:proofErr w:type="spellStart"/>
      <w:r>
        <w:rPr>
          <w:rFonts w:cs="Andalus"/>
          <w:b/>
          <w:bCs/>
          <w:sz w:val="22"/>
          <w:szCs w:val="22"/>
          <w:lang w:bidi="ar-EG"/>
        </w:rPr>
        <w:t>TEAching</w:t>
      </w:r>
      <w:proofErr w:type="spellEnd"/>
      <w:r>
        <w:rPr>
          <w:rFonts w:cs="Andalus"/>
          <w:b/>
          <w:bCs/>
          <w:sz w:val="22"/>
          <w:szCs w:val="22"/>
          <w:lang w:bidi="ar-EG"/>
        </w:rPr>
        <w:t xml:space="preserve"> materials. [http://www11.informatik.tu/muenchen.de/forschung/projekte/targeteam/index.html.en]</w:t>
      </w:r>
    </w:p>
    <w:p w:rsidR="00DA0164" w:rsidRDefault="00DA0164" w:rsidP="00DA0164">
      <w:pPr>
        <w:numPr>
          <w:ilvl w:val="0"/>
          <w:numId w:val="1"/>
        </w:numPr>
        <w:rPr>
          <w:rFonts w:cs="Andalus"/>
          <w:b/>
          <w:bCs/>
          <w:sz w:val="22"/>
          <w:szCs w:val="22"/>
          <w:lang w:bidi="ar-EG"/>
        </w:rPr>
      </w:pPr>
      <w:proofErr w:type="spellStart"/>
      <w:r>
        <w:rPr>
          <w:rFonts w:cs="Andalus"/>
          <w:b/>
          <w:bCs/>
          <w:sz w:val="22"/>
          <w:szCs w:val="22"/>
          <w:lang w:bidi="ar-EG"/>
        </w:rPr>
        <w:lastRenderedPageBreak/>
        <w:t>Wehner</w:t>
      </w:r>
      <w:proofErr w:type="spellEnd"/>
      <w:r>
        <w:rPr>
          <w:rFonts w:cs="Andalus"/>
          <w:b/>
          <w:bCs/>
          <w:sz w:val="22"/>
          <w:szCs w:val="22"/>
          <w:lang w:bidi="ar-EG"/>
        </w:rPr>
        <w:t xml:space="preserve">, F. [2001]. Developing modular and adaptable courseware using </w:t>
      </w:r>
      <w:proofErr w:type="spellStart"/>
      <w:smartTag w:uri="urn:schemas-microsoft-com:office:smarttags" w:element="place">
        <w:smartTag w:uri="urn:schemas-microsoft-com:office:smarttags" w:element="City">
          <w:r>
            <w:rPr>
              <w:rFonts w:cs="Andalus"/>
              <w:b/>
              <w:bCs/>
              <w:sz w:val="22"/>
              <w:szCs w:val="22"/>
              <w:lang w:bidi="ar-EG"/>
            </w:rPr>
            <w:t>TeachML</w:t>
          </w:r>
        </w:smartTag>
        <w:proofErr w:type="spellEnd"/>
        <w:r>
          <w:rPr>
            <w:rFonts w:cs="Andalus"/>
            <w:b/>
            <w:bCs/>
            <w:sz w:val="22"/>
            <w:szCs w:val="22"/>
            <w:lang w:bidi="ar-EG"/>
          </w:rPr>
          <w:t xml:space="preserve">, </w:t>
        </w:r>
        <w:smartTag w:uri="urn:schemas-microsoft-com:office:smarttags" w:element="country-region">
          <w:r>
            <w:rPr>
              <w:rFonts w:cs="Andalus"/>
              <w:b/>
              <w:bCs/>
              <w:sz w:val="22"/>
              <w:szCs w:val="22"/>
              <w:lang w:bidi="ar-EG"/>
            </w:rPr>
            <w:t>Finland</w:t>
          </w:r>
        </w:smartTag>
      </w:smartTag>
      <w:r>
        <w:rPr>
          <w:rFonts w:cs="Andalus"/>
          <w:b/>
          <w:bCs/>
          <w:sz w:val="22"/>
          <w:szCs w:val="22"/>
          <w:lang w:bidi="ar-EG"/>
        </w:rPr>
        <w:t>, pp. 2013-2018.</w:t>
      </w:r>
    </w:p>
    <w:p w:rsidR="00DA0164" w:rsidRDefault="00DA0164" w:rsidP="00DA0164">
      <w:pPr>
        <w:numPr>
          <w:ilvl w:val="0"/>
          <w:numId w:val="1"/>
        </w:numPr>
        <w:rPr>
          <w:rFonts w:cs="Andalus"/>
          <w:b/>
          <w:bCs/>
          <w:sz w:val="22"/>
          <w:szCs w:val="22"/>
          <w:lang w:bidi="ar-EG"/>
        </w:rPr>
      </w:pPr>
      <w:r>
        <w:rPr>
          <w:rFonts w:cs="Andalus"/>
          <w:b/>
          <w:bCs/>
          <w:sz w:val="22"/>
          <w:szCs w:val="22"/>
          <w:lang w:bidi="ar-EG"/>
        </w:rPr>
        <w:t xml:space="preserve">Wiest, S. and Zell, A. [2001]. Improving Web-based training using an XML content base. In: Proceedings of ED-MEDIA 2001, </w:t>
      </w:r>
      <w:proofErr w:type="spellStart"/>
      <w:smartTag w:uri="urn:schemas-microsoft-com:office:smarttags" w:element="place">
        <w:smartTag w:uri="urn:schemas-microsoft-com:office:smarttags" w:element="City">
          <w:r>
            <w:rPr>
              <w:rFonts w:cs="Andalus"/>
              <w:b/>
              <w:bCs/>
              <w:sz w:val="22"/>
              <w:szCs w:val="22"/>
              <w:lang w:bidi="ar-EG"/>
            </w:rPr>
            <w:t>Tempere</w:t>
          </w:r>
        </w:smartTag>
        <w:proofErr w:type="spellEnd"/>
        <w:r>
          <w:rPr>
            <w:rFonts w:cs="Andalus"/>
            <w:b/>
            <w:bCs/>
            <w:sz w:val="22"/>
            <w:szCs w:val="22"/>
            <w:lang w:bidi="ar-EG"/>
          </w:rPr>
          <w:t xml:space="preserve">, </w:t>
        </w:r>
        <w:smartTag w:uri="urn:schemas-microsoft-com:office:smarttags" w:element="country-region">
          <w:r>
            <w:rPr>
              <w:rFonts w:cs="Andalus"/>
              <w:b/>
              <w:bCs/>
              <w:sz w:val="22"/>
              <w:szCs w:val="22"/>
              <w:lang w:bidi="ar-EG"/>
            </w:rPr>
            <w:t>Finland</w:t>
          </w:r>
        </w:smartTag>
      </w:smartTag>
      <w:r>
        <w:rPr>
          <w:rFonts w:cs="Andalus"/>
          <w:b/>
          <w:bCs/>
          <w:sz w:val="22"/>
          <w:szCs w:val="22"/>
          <w:lang w:bidi="ar-EG"/>
        </w:rPr>
        <w:t>, pp. 458-463.</w:t>
      </w:r>
    </w:p>
    <w:p w:rsidR="00DA0164" w:rsidRPr="009A00CC" w:rsidRDefault="00DA0164" w:rsidP="00DA0164">
      <w:pPr>
        <w:ind w:left="360"/>
        <w:rPr>
          <w:rFonts w:cs="Andalus"/>
          <w:b/>
          <w:bCs/>
          <w:sz w:val="22"/>
          <w:szCs w:val="22"/>
          <w:lang w:bidi="ar-EG"/>
        </w:rPr>
      </w:pPr>
      <w:r>
        <w:rPr>
          <w:rFonts w:cs="Andalus"/>
          <w:b/>
          <w:bCs/>
          <w:sz w:val="22"/>
          <w:szCs w:val="22"/>
          <w:lang w:bidi="ar-EG"/>
        </w:rPr>
        <w:t>___________________________________________________________________________</w:t>
      </w:r>
    </w:p>
    <w:p w:rsidR="00976CAB" w:rsidRDefault="00976CAB">
      <w:pPr>
        <w:rPr>
          <w:lang w:bidi="ar-EG"/>
        </w:rPr>
      </w:pPr>
    </w:p>
    <w:sectPr w:rsidR="00976CAB"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3901"/>
    <w:multiLevelType w:val="hybridMultilevel"/>
    <w:tmpl w:val="E01E84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64"/>
    <w:rsid w:val="00976CAB"/>
    <w:rsid w:val="00B44C82"/>
    <w:rsid w:val="00C72EA9"/>
    <w:rsid w:val="00DA0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57">
      <o:colormenu v:ext="edit" fillcolor="none [6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3523</Characters>
  <Application>Microsoft Office Word</Application>
  <DocSecurity>0</DocSecurity>
  <Lines>29</Lines>
  <Paragraphs>8</Paragraphs>
  <ScaleCrop>false</ScaleCrop>
  <Company>SACC</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2020-03-02T14:40:00Z</dcterms:created>
  <dcterms:modified xsi:type="dcterms:W3CDTF">2020-03-02T14:40:00Z</dcterms:modified>
</cp:coreProperties>
</file>