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9EB" w:rsidRPr="009959EB" w:rsidRDefault="009959EB" w:rsidP="009959EB">
      <w:pPr>
        <w:jc w:val="center"/>
        <w:rPr>
          <w:rFonts w:ascii="Arial" w:hAnsi="Arial"/>
          <w:b/>
          <w:bCs/>
          <w:color w:val="7030A0"/>
          <w:sz w:val="32"/>
          <w:szCs w:val="32"/>
          <w:rtl/>
        </w:rPr>
      </w:pPr>
      <w:bookmarkStart w:id="0" w:name="_GoBack"/>
      <w:r w:rsidRPr="009959EB">
        <w:rPr>
          <w:rFonts w:ascii="Arial" w:hAnsi="Arial"/>
          <w:b/>
          <w:bCs/>
          <w:color w:val="7030A0"/>
          <w:sz w:val="32"/>
          <w:szCs w:val="32"/>
          <w:rtl/>
        </w:rPr>
        <w:t>الجميل في الفلسفة اليونانية</w:t>
      </w:r>
    </w:p>
    <w:bookmarkEnd w:id="0"/>
    <w:p w:rsidR="009959EB" w:rsidRDefault="009959EB" w:rsidP="009959EB">
      <w:pPr>
        <w:jc w:val="lowKashida"/>
        <w:rPr>
          <w:b/>
          <w:bCs/>
          <w:rtl/>
        </w:rPr>
      </w:pPr>
      <w:r>
        <w:rPr>
          <w:b/>
          <w:bCs/>
          <w:noProof/>
          <w:rtl/>
        </w:rPr>
        <mc:AlternateContent>
          <mc:Choice Requires="wps">
            <w:drawing>
              <wp:anchor distT="0" distB="0" distL="114300" distR="114300" simplePos="0" relativeHeight="251659264" behindDoc="0" locked="0" layoutInCell="0" allowOverlap="1">
                <wp:simplePos x="0" y="0"/>
                <wp:positionH relativeFrom="page">
                  <wp:posOffset>3931920</wp:posOffset>
                </wp:positionH>
                <wp:positionV relativeFrom="paragraph">
                  <wp:posOffset>33020</wp:posOffset>
                </wp:positionV>
                <wp:extent cx="2468880" cy="0"/>
                <wp:effectExtent l="26670" t="23495" r="19050" b="2413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888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6pt,2.6pt" to="7in,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" o:allowincell="f" strokeweight="3pt">
                <w10:wrap anchorx="page"/>
              </v:line>
            </w:pict>
          </mc:Fallback>
        </mc:AlternateContent>
      </w:r>
      <w:r>
        <w:rPr>
          <w:b/>
          <w:bCs/>
          <w:rtl/>
        </w:rPr>
        <w:tab/>
      </w:r>
    </w:p>
    <w:p w:rsidR="009959EB" w:rsidRDefault="009959EB" w:rsidP="009959EB">
      <w:pPr>
        <w:jc w:val="lowKashida"/>
        <w:rPr>
          <w:rFonts w:hint="cs"/>
          <w:b/>
          <w:bCs/>
          <w:rtl/>
        </w:rPr>
      </w:pPr>
      <w:r>
        <w:rPr>
          <w:b/>
          <w:bCs/>
          <w:rtl/>
        </w:rPr>
        <w:tab/>
      </w:r>
      <w:proofErr w:type="spellStart"/>
      <w:r w:rsidRPr="00CA412A">
        <w:rPr>
          <w:rFonts w:ascii="Arial" w:hAnsi="Arial" w:hint="cs"/>
          <w:b/>
          <w:bCs/>
          <w:color w:val="7030A0"/>
          <w:sz w:val="32"/>
          <w:szCs w:val="32"/>
          <w:rtl/>
        </w:rPr>
        <w:t>ا.م.د</w:t>
      </w:r>
      <w:proofErr w:type="spellEnd"/>
      <w:r w:rsidRPr="00CA412A">
        <w:rPr>
          <w:rFonts w:ascii="Arial" w:hAnsi="Arial" w:hint="cs"/>
          <w:b/>
          <w:bCs/>
          <w:color w:val="7030A0"/>
          <w:sz w:val="32"/>
          <w:szCs w:val="32"/>
          <w:rtl/>
        </w:rPr>
        <w:t xml:space="preserve">.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r w:rsidRPr="00CA412A">
        <w:rPr>
          <w:rFonts w:ascii="Arial" w:hAnsi="Arial"/>
          <w:b/>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9959EB" w:rsidRDefault="009959EB" w:rsidP="009959EB">
      <w:pPr>
        <w:jc w:val="lowKashida"/>
        <w:rPr>
          <w:b/>
          <w:bCs/>
          <w:rtl/>
        </w:rPr>
      </w:pPr>
      <w:r>
        <w:rPr>
          <w:b/>
          <w:bCs/>
          <w:rtl/>
        </w:rPr>
        <w:t xml:space="preserve">كان لموضوع الجميل اهمية في العديد من النظريات الفلسفية منذ العصر اليوناني حتى ايامنا هذه ، وكانت للعديد من الفلاسفة اسهامات مميزة في توضيح ماهية الجميل ، حيث خضع لديهم الى متغيرات عدة املتها المرجعية التكوينية والزمن الذي عاشوا فيه والتي حددت طبيعة </w:t>
      </w:r>
      <w:proofErr w:type="spellStart"/>
      <w:r>
        <w:rPr>
          <w:b/>
          <w:bCs/>
          <w:rtl/>
        </w:rPr>
        <w:t>منطلقاتهم</w:t>
      </w:r>
      <w:proofErr w:type="spellEnd"/>
      <w:r>
        <w:rPr>
          <w:b/>
          <w:bCs/>
          <w:rtl/>
        </w:rPr>
        <w:t xml:space="preserve"> الفكرية والفلسفية ، ممن عكس ذلك على تقديراتهم للجميل والذي فيه من التنوع ما يجعله متغاير بتغاير تقديراتهم </w:t>
      </w:r>
      <w:proofErr w:type="spellStart"/>
      <w:r>
        <w:rPr>
          <w:b/>
          <w:bCs/>
          <w:rtl/>
        </w:rPr>
        <w:t>التاملية</w:t>
      </w:r>
      <w:proofErr w:type="spellEnd"/>
      <w:r>
        <w:rPr>
          <w:b/>
          <w:bCs/>
          <w:rtl/>
        </w:rPr>
        <w:t xml:space="preserve"> للجميل ، ولقد كانت تصورات الفلاسفة اليونان للجميل مرتبطة بتصوراتهم الميتافيزيقية والطبيعية للوجود</w:t>
      </w:r>
      <w:r>
        <w:rPr>
          <w:b/>
          <w:bCs/>
          <w:vertAlign w:val="superscript"/>
          <w:rtl/>
        </w:rPr>
        <w:t xml:space="preserve">* </w:t>
      </w:r>
      <w:r>
        <w:rPr>
          <w:b/>
          <w:bCs/>
          <w:rtl/>
        </w:rPr>
        <w:t xml:space="preserve">.  </w:t>
      </w:r>
    </w:p>
    <w:p w:rsidR="009959EB" w:rsidRDefault="009959EB" w:rsidP="009959EB">
      <w:pPr>
        <w:ind w:firstLine="720"/>
        <w:jc w:val="lowKashida"/>
        <w:rPr>
          <w:b/>
          <w:bCs/>
          <w:rtl/>
        </w:rPr>
      </w:pPr>
      <w:r>
        <w:rPr>
          <w:b/>
          <w:bCs/>
          <w:rtl/>
        </w:rPr>
        <w:t xml:space="preserve">لقد </w:t>
      </w:r>
      <w:proofErr w:type="spellStart"/>
      <w:r>
        <w:rPr>
          <w:b/>
          <w:bCs/>
          <w:rtl/>
        </w:rPr>
        <w:t>تاثرت</w:t>
      </w:r>
      <w:proofErr w:type="spellEnd"/>
      <w:r>
        <w:rPr>
          <w:b/>
          <w:bCs/>
          <w:rtl/>
        </w:rPr>
        <w:t xml:space="preserve"> تصورات اليونانيين للجميل بنظرتهم الميتافيزيقية الكلية للعالم ، عندما حاولوا رد الكثرة المشاهدة للموجودات الى مبدا واحد يفترض فيه النظام والمعقولية الشاملة ، ومن ثم كان مدار بعثهم في الكون هو النظام والترتيب والوحدة المنسقة للكل التي تجمعه في تألف وانسجام .</w:t>
      </w:r>
      <w:r>
        <w:rPr>
          <w:b/>
          <w:bCs/>
          <w:vertAlign w:val="superscript"/>
          <w:rtl/>
        </w:rPr>
        <w:t>(</w:t>
      </w:r>
      <w:r>
        <w:rPr>
          <w:rStyle w:val="a3"/>
          <w:b/>
          <w:bCs/>
          <w:rtl/>
        </w:rPr>
        <w:footnoteReference w:id="1"/>
      </w:r>
      <w:r>
        <w:rPr>
          <w:b/>
          <w:bCs/>
          <w:vertAlign w:val="superscript"/>
          <w:rtl/>
        </w:rPr>
        <w:t xml:space="preserve">) </w:t>
      </w:r>
    </w:p>
    <w:p w:rsidR="009959EB" w:rsidRDefault="009959EB" w:rsidP="009959EB">
      <w:pPr>
        <w:ind w:firstLine="720"/>
        <w:jc w:val="lowKashida"/>
        <w:rPr>
          <w:b/>
          <w:bCs/>
          <w:rtl/>
        </w:rPr>
      </w:pPr>
      <w:r>
        <w:rPr>
          <w:b/>
          <w:bCs/>
          <w:rtl/>
        </w:rPr>
        <w:t xml:space="preserve">وجد فيثاغورس ( 572 </w:t>
      </w:r>
      <w:r>
        <w:rPr>
          <w:b/>
          <w:bCs/>
        </w:rPr>
        <w:t>–</w:t>
      </w:r>
      <w:r>
        <w:rPr>
          <w:b/>
          <w:bCs/>
          <w:rtl/>
        </w:rPr>
        <w:t xml:space="preserve"> 464 ق . م ) ان سر الجميل قائم على نظام عددي معين هو علة التناغم والانسجام في الكون والشكل . وقد وضع فيثاغورس معيار هندسياً للجميل بالاعتماد على </w:t>
      </w:r>
      <w:proofErr w:type="spellStart"/>
      <w:r>
        <w:rPr>
          <w:b/>
          <w:bCs/>
          <w:rtl/>
        </w:rPr>
        <w:t>تاملاته</w:t>
      </w:r>
      <w:proofErr w:type="spellEnd"/>
      <w:r>
        <w:rPr>
          <w:b/>
          <w:bCs/>
          <w:rtl/>
        </w:rPr>
        <w:t xml:space="preserve"> الفلسفية للموسيقى ، واحالة انغامها الى نسب عددية معينة مستخلصاً بذلك وسطاً رياضياً بين نوعين متضادين من النغم والذي فسر به التوافق الموسيقي او </w:t>
      </w:r>
      <w:proofErr w:type="spellStart"/>
      <w:r>
        <w:rPr>
          <w:b/>
          <w:bCs/>
          <w:rtl/>
        </w:rPr>
        <w:t>الهاروموني</w:t>
      </w:r>
      <w:proofErr w:type="spellEnd"/>
      <w:r>
        <w:rPr>
          <w:b/>
          <w:bCs/>
          <w:rtl/>
        </w:rPr>
        <w:t xml:space="preserve"> وهو نتيجة الوحدة والائتلاف بين الاضداد .</w:t>
      </w:r>
      <w:r>
        <w:rPr>
          <w:b/>
          <w:bCs/>
          <w:vertAlign w:val="superscript"/>
          <w:rtl/>
        </w:rPr>
        <w:t>(</w:t>
      </w:r>
      <w:r>
        <w:rPr>
          <w:rStyle w:val="a3"/>
          <w:b/>
          <w:bCs/>
          <w:rtl/>
        </w:rPr>
        <w:footnoteReference w:id="2"/>
      </w:r>
      <w:r>
        <w:rPr>
          <w:b/>
          <w:bCs/>
          <w:vertAlign w:val="superscript"/>
          <w:rtl/>
        </w:rPr>
        <w:t xml:space="preserve">) </w:t>
      </w:r>
    </w:p>
    <w:p w:rsidR="009959EB" w:rsidRDefault="009959EB" w:rsidP="009959EB">
      <w:pPr>
        <w:ind w:firstLine="720"/>
        <w:jc w:val="lowKashida"/>
        <w:rPr>
          <w:b/>
          <w:bCs/>
          <w:rtl/>
        </w:rPr>
      </w:pPr>
      <w:r>
        <w:rPr>
          <w:b/>
          <w:bCs/>
          <w:rtl/>
        </w:rPr>
        <w:t xml:space="preserve">يعد فيثاغورس ان هارمونية الارقام هي القانون الموضوعي الذي يحكم جميع مظاهر الوجود ، والاعداد بحد ذاتها اصلاً وجوهراً وماهية ، والعدد شيء مقدس والذي منه تستخرج </w:t>
      </w:r>
      <w:r>
        <w:rPr>
          <w:b/>
          <w:bCs/>
          <w:rtl/>
        </w:rPr>
        <w:lastRenderedPageBreak/>
        <w:t>نسب معينه هي اصل الانسجام في الكون ، واصل الاشياء ، وبذلك اعطى للعدد قيمة وجودية لا حسابية فقط .</w:t>
      </w:r>
      <w:r>
        <w:rPr>
          <w:b/>
          <w:bCs/>
          <w:vertAlign w:val="superscript"/>
          <w:rtl/>
        </w:rPr>
        <w:t>(</w:t>
      </w:r>
      <w:r>
        <w:rPr>
          <w:rStyle w:val="a3"/>
          <w:b/>
          <w:bCs/>
          <w:rtl/>
        </w:rPr>
        <w:footnoteReference w:id="3"/>
      </w:r>
      <w:r>
        <w:rPr>
          <w:b/>
          <w:bCs/>
          <w:vertAlign w:val="superscript"/>
          <w:rtl/>
        </w:rPr>
        <w:t xml:space="preserve">) </w:t>
      </w:r>
    </w:p>
    <w:p w:rsidR="009959EB" w:rsidRDefault="009959EB" w:rsidP="009959EB">
      <w:pPr>
        <w:ind w:firstLine="720"/>
        <w:jc w:val="lowKashida"/>
        <w:rPr>
          <w:b/>
          <w:bCs/>
          <w:rtl/>
        </w:rPr>
      </w:pPr>
      <w:r>
        <w:rPr>
          <w:b/>
          <w:bCs/>
          <w:rtl/>
        </w:rPr>
        <w:t xml:space="preserve">ذلك ان الاعداد </w:t>
      </w:r>
      <w:proofErr w:type="spellStart"/>
      <w:r>
        <w:rPr>
          <w:b/>
          <w:bCs/>
          <w:rtl/>
        </w:rPr>
        <w:t>هية</w:t>
      </w:r>
      <w:proofErr w:type="spellEnd"/>
      <w:r>
        <w:rPr>
          <w:b/>
          <w:bCs/>
          <w:rtl/>
        </w:rPr>
        <w:t xml:space="preserve"> عناصر الموجودات .. والاعداد هي نماذج تحاكيها الموجودات دون ان تكون هذه النماذج مفارقة لمصدرها الا في الذهن ، ذلك ان هناك تقابلاً بين الاعداد والاشكال والاصوات والحركات وما لها من قوانين ثابته ، فالعدد هو مقدار وشكل وليس مجرد رقم .</w:t>
      </w:r>
      <w:r>
        <w:rPr>
          <w:b/>
          <w:bCs/>
          <w:vertAlign w:val="superscript"/>
          <w:rtl/>
        </w:rPr>
        <w:t>(</w:t>
      </w:r>
      <w:r>
        <w:rPr>
          <w:rStyle w:val="a3"/>
          <w:b/>
          <w:bCs/>
          <w:rtl/>
        </w:rPr>
        <w:footnoteReference w:id="4"/>
      </w:r>
      <w:r>
        <w:rPr>
          <w:b/>
          <w:bCs/>
          <w:vertAlign w:val="superscript"/>
          <w:rtl/>
        </w:rPr>
        <w:t xml:space="preserve">) </w:t>
      </w:r>
    </w:p>
    <w:p w:rsidR="009959EB" w:rsidRDefault="009959EB" w:rsidP="009959EB">
      <w:pPr>
        <w:ind w:firstLine="720"/>
        <w:jc w:val="lowKashida"/>
        <w:rPr>
          <w:b/>
          <w:bCs/>
          <w:rtl/>
        </w:rPr>
      </w:pPr>
      <w:r>
        <w:rPr>
          <w:b/>
          <w:bCs/>
          <w:rtl/>
        </w:rPr>
        <w:t>فاصل العدد الذي هو النقطة ممكن ان تتفرع عنه جميع الاشكال الهندسية ، ويمكن شرح الكون انطلاقاً من الاشكال الهندسية .</w:t>
      </w:r>
      <w:r>
        <w:rPr>
          <w:b/>
          <w:bCs/>
          <w:vertAlign w:val="superscript"/>
          <w:rtl/>
        </w:rPr>
        <w:t>(</w:t>
      </w:r>
      <w:r>
        <w:rPr>
          <w:rStyle w:val="a3"/>
          <w:b/>
          <w:bCs/>
          <w:rtl/>
        </w:rPr>
        <w:footnoteReference w:id="5"/>
      </w:r>
      <w:r>
        <w:rPr>
          <w:b/>
          <w:bCs/>
          <w:vertAlign w:val="superscript"/>
          <w:rtl/>
        </w:rPr>
        <w:t xml:space="preserve">) </w:t>
      </w:r>
    </w:p>
    <w:p w:rsidR="009959EB" w:rsidRDefault="009959EB" w:rsidP="009959EB">
      <w:pPr>
        <w:ind w:firstLine="720"/>
        <w:jc w:val="lowKashida"/>
        <w:rPr>
          <w:b/>
          <w:bCs/>
          <w:rtl/>
        </w:rPr>
      </w:pPr>
      <w:r>
        <w:rPr>
          <w:b/>
          <w:bCs/>
          <w:rtl/>
        </w:rPr>
        <w:t>وفيثاغورس باتجاهه الصوفي الرياضي عد هذا الاتجاه سبيلاً للمعرفة الحدسية العليا التي تتجاوز المحسوس المتغير لتوصل الانسان الى معرفة يقينية ، والجمالية في الرياضيات تنهض على يقينية هذه المعرفة التي اعتمدت السبيل الهندسي في حل معضلاتها نحو الكون .. على اعتبار ان قواعد التجريد ارحب القواعد للمعرفة اليقينية في ذلك الوقت .</w:t>
      </w:r>
      <w:r>
        <w:rPr>
          <w:b/>
          <w:bCs/>
          <w:vertAlign w:val="superscript"/>
          <w:rtl/>
        </w:rPr>
        <w:t>(</w:t>
      </w:r>
      <w:r>
        <w:rPr>
          <w:rStyle w:val="a3"/>
          <w:b/>
          <w:bCs/>
          <w:rtl/>
        </w:rPr>
        <w:footnoteReference w:id="6"/>
      </w:r>
      <w:r>
        <w:rPr>
          <w:b/>
          <w:bCs/>
          <w:vertAlign w:val="superscript"/>
          <w:rtl/>
        </w:rPr>
        <w:t xml:space="preserve">) </w:t>
      </w:r>
    </w:p>
    <w:p w:rsidR="009959EB" w:rsidRDefault="009959EB" w:rsidP="009959EB">
      <w:pPr>
        <w:ind w:firstLine="720"/>
        <w:jc w:val="lowKashida"/>
        <w:rPr>
          <w:b/>
          <w:bCs/>
          <w:rtl/>
        </w:rPr>
      </w:pPr>
      <w:r>
        <w:rPr>
          <w:b/>
          <w:bCs/>
          <w:rtl/>
        </w:rPr>
        <w:t>فكل شيء جميل محكوم بتجانس عددي معين ، والعدد هو الاساس الذي صاغوا على اساسه معيارهم الجمالي ، وللعدد قيمة روحية واخلاقية ، فالانسجام والتوافق بين الايقاعات والالحان يعيد التوازن والانسجام الى الروح .</w:t>
      </w:r>
      <w:r>
        <w:rPr>
          <w:b/>
          <w:bCs/>
          <w:vertAlign w:val="superscript"/>
          <w:rtl/>
        </w:rPr>
        <w:t>(</w:t>
      </w:r>
      <w:r>
        <w:rPr>
          <w:rStyle w:val="a3"/>
          <w:b/>
          <w:bCs/>
          <w:rtl/>
        </w:rPr>
        <w:footnoteReference w:id="7"/>
      </w:r>
      <w:r>
        <w:rPr>
          <w:b/>
          <w:bCs/>
          <w:vertAlign w:val="superscript"/>
          <w:rtl/>
        </w:rPr>
        <w:t xml:space="preserve">) </w:t>
      </w:r>
    </w:p>
    <w:p w:rsidR="009959EB" w:rsidRDefault="009959EB" w:rsidP="009959EB">
      <w:pPr>
        <w:ind w:firstLine="720"/>
        <w:jc w:val="lowKashida"/>
        <w:rPr>
          <w:b/>
          <w:bCs/>
          <w:rtl/>
        </w:rPr>
      </w:pPr>
      <w:r>
        <w:rPr>
          <w:b/>
          <w:bCs/>
          <w:rtl/>
        </w:rPr>
        <w:t xml:space="preserve">اما </w:t>
      </w:r>
      <w:proofErr w:type="spellStart"/>
      <w:r>
        <w:rPr>
          <w:b/>
          <w:bCs/>
          <w:rtl/>
        </w:rPr>
        <w:t>هرقليطس</w:t>
      </w:r>
      <w:proofErr w:type="spellEnd"/>
      <w:r>
        <w:rPr>
          <w:b/>
          <w:bCs/>
          <w:rtl/>
        </w:rPr>
        <w:t xml:space="preserve"> ( 540 </w:t>
      </w:r>
      <w:r>
        <w:rPr>
          <w:b/>
          <w:bCs/>
        </w:rPr>
        <w:t>–</w:t>
      </w:r>
      <w:r>
        <w:rPr>
          <w:b/>
          <w:bCs/>
          <w:rtl/>
        </w:rPr>
        <w:t xml:space="preserve"> 475 ق . م ) فيرى ان الجميل هو التناسق والوحدة القائمة خلف صراع الأضداد ، وهو يرى ان التناسق الباطن المخفي افضل من التناسق الظاهر .</w:t>
      </w:r>
      <w:r>
        <w:rPr>
          <w:b/>
          <w:bCs/>
          <w:vertAlign w:val="superscript"/>
          <w:rtl/>
        </w:rPr>
        <w:t>(</w:t>
      </w:r>
      <w:r>
        <w:rPr>
          <w:rStyle w:val="a3"/>
          <w:b/>
          <w:bCs/>
          <w:rtl/>
        </w:rPr>
        <w:footnoteReference w:id="8"/>
      </w:r>
      <w:r>
        <w:rPr>
          <w:b/>
          <w:bCs/>
          <w:vertAlign w:val="superscript"/>
          <w:rtl/>
        </w:rPr>
        <w:t xml:space="preserve">) </w:t>
      </w:r>
      <w:r>
        <w:rPr>
          <w:b/>
          <w:bCs/>
          <w:rtl/>
        </w:rPr>
        <w:t>ذلك ان المتلقي او الفنان يجب ان يدرك القانون الخفي الثابت والرائع وهو اساس النظامي والانسجام الذي يؤطر الاشياء المتغيرة ، والذي يوفر امكانية لا نهائية للتغير المتصل .</w:t>
      </w:r>
      <w:r>
        <w:rPr>
          <w:b/>
          <w:bCs/>
          <w:vertAlign w:val="superscript"/>
          <w:rtl/>
        </w:rPr>
        <w:t>(</w:t>
      </w:r>
      <w:r>
        <w:rPr>
          <w:rStyle w:val="a3"/>
          <w:b/>
          <w:bCs/>
          <w:rtl/>
        </w:rPr>
        <w:footnoteReference w:id="9"/>
      </w:r>
      <w:r>
        <w:rPr>
          <w:b/>
          <w:bCs/>
          <w:vertAlign w:val="superscript"/>
          <w:rtl/>
        </w:rPr>
        <w:t xml:space="preserve">) </w:t>
      </w:r>
      <w:r>
        <w:rPr>
          <w:b/>
          <w:bCs/>
          <w:rtl/>
        </w:rPr>
        <w:t xml:space="preserve">لذا </w:t>
      </w:r>
      <w:r>
        <w:rPr>
          <w:b/>
          <w:bCs/>
          <w:rtl/>
        </w:rPr>
        <w:lastRenderedPageBreak/>
        <w:t xml:space="preserve">فان الاعين شهود مظلله للناس ، ذلك ان الوحدة التي هي جوهر الاشياء تدرك بالحدس الذي يدرك </w:t>
      </w:r>
      <w:proofErr w:type="spellStart"/>
      <w:r>
        <w:rPr>
          <w:b/>
          <w:bCs/>
          <w:rtl/>
        </w:rPr>
        <w:t>الصغية</w:t>
      </w:r>
      <w:proofErr w:type="spellEnd"/>
      <w:r>
        <w:rPr>
          <w:b/>
          <w:bCs/>
          <w:rtl/>
        </w:rPr>
        <w:t xml:space="preserve"> الكامنة المشتركة بين الاشياء .</w:t>
      </w:r>
      <w:r>
        <w:rPr>
          <w:b/>
          <w:bCs/>
          <w:vertAlign w:val="superscript"/>
          <w:rtl/>
        </w:rPr>
        <w:t>(</w:t>
      </w:r>
      <w:r>
        <w:rPr>
          <w:rStyle w:val="a3"/>
          <w:b/>
          <w:bCs/>
          <w:rtl/>
        </w:rPr>
        <w:footnoteReference w:id="10"/>
      </w:r>
      <w:r>
        <w:rPr>
          <w:b/>
          <w:bCs/>
          <w:vertAlign w:val="superscript"/>
          <w:rtl/>
        </w:rPr>
        <w:t xml:space="preserve">) </w:t>
      </w:r>
    </w:p>
    <w:p w:rsidR="009959EB" w:rsidRDefault="009959EB" w:rsidP="009959EB">
      <w:pPr>
        <w:ind w:firstLine="720"/>
        <w:jc w:val="lowKashida"/>
        <w:rPr>
          <w:b/>
          <w:bCs/>
          <w:rtl/>
        </w:rPr>
      </w:pPr>
      <w:proofErr w:type="spellStart"/>
      <w:r>
        <w:rPr>
          <w:b/>
          <w:bCs/>
          <w:rtl/>
        </w:rPr>
        <w:t>وهرقليطس</w:t>
      </w:r>
      <w:proofErr w:type="spellEnd"/>
      <w:r>
        <w:rPr>
          <w:b/>
          <w:bCs/>
          <w:rtl/>
        </w:rPr>
        <w:t xml:space="preserve"> بوضعه حقيقة مطلقة فوق التغير المحسوس وجد ان مظاهر الواقع هي مظاهر جزئية متغيرة يمتنع تعين خصائص لها ثابته لها .</w:t>
      </w:r>
      <w:r>
        <w:rPr>
          <w:b/>
          <w:bCs/>
          <w:vertAlign w:val="superscript"/>
          <w:rtl/>
        </w:rPr>
        <w:t>(</w:t>
      </w:r>
      <w:r>
        <w:rPr>
          <w:rStyle w:val="a3"/>
          <w:b/>
          <w:bCs/>
          <w:rtl/>
        </w:rPr>
        <w:footnoteReference w:id="11"/>
      </w:r>
      <w:r>
        <w:rPr>
          <w:b/>
          <w:bCs/>
          <w:vertAlign w:val="superscript"/>
          <w:rtl/>
        </w:rPr>
        <w:t xml:space="preserve">) </w:t>
      </w:r>
    </w:p>
    <w:p w:rsidR="009959EB" w:rsidRDefault="009959EB" w:rsidP="009959EB">
      <w:pPr>
        <w:ind w:firstLine="720"/>
        <w:jc w:val="lowKashida"/>
        <w:rPr>
          <w:b/>
          <w:bCs/>
          <w:rtl/>
        </w:rPr>
      </w:pPr>
      <w:r>
        <w:rPr>
          <w:b/>
          <w:bCs/>
          <w:rtl/>
        </w:rPr>
        <w:t xml:space="preserve">ولذلك فالجميل في العالم المادي نوعي ونسبي ناجم عن اختلاف الانواع </w:t>
      </w:r>
      <w:proofErr w:type="spellStart"/>
      <w:r>
        <w:rPr>
          <w:b/>
          <w:bCs/>
          <w:rtl/>
        </w:rPr>
        <w:t>فالانسان</w:t>
      </w:r>
      <w:proofErr w:type="spellEnd"/>
      <w:r>
        <w:rPr>
          <w:b/>
          <w:bCs/>
          <w:rtl/>
        </w:rPr>
        <w:t xml:space="preserve"> اجمل من اجمل قرد .. كما ان الناس بالنسبة الى الاله كالقرود في الجمال .. ولذلك كلما كان التناقض غير ظاهر أي ليس تناقض في الصفات كان التناسق اكثر روعه وجمال .</w:t>
      </w:r>
      <w:r>
        <w:rPr>
          <w:b/>
          <w:bCs/>
          <w:vertAlign w:val="superscript"/>
          <w:rtl/>
        </w:rPr>
        <w:t>(</w:t>
      </w:r>
      <w:r>
        <w:rPr>
          <w:rStyle w:val="a3"/>
          <w:b/>
          <w:bCs/>
          <w:rtl/>
        </w:rPr>
        <w:footnoteReference w:id="12"/>
      </w:r>
      <w:r>
        <w:rPr>
          <w:b/>
          <w:bCs/>
          <w:vertAlign w:val="superscript"/>
          <w:rtl/>
        </w:rPr>
        <w:t xml:space="preserve">) </w:t>
      </w:r>
    </w:p>
    <w:p w:rsidR="00976CAB" w:rsidRDefault="00976CAB"/>
    <w:sectPr w:rsidR="00976CAB" w:rsidSect="00C72EA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FB6" w:rsidRDefault="00821FB6" w:rsidP="009959EB">
      <w:r>
        <w:separator/>
      </w:r>
    </w:p>
  </w:endnote>
  <w:endnote w:type="continuationSeparator" w:id="0">
    <w:p w:rsidR="00821FB6" w:rsidRDefault="00821FB6" w:rsidP="0099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FB6" w:rsidRDefault="00821FB6" w:rsidP="009959EB">
      <w:r>
        <w:separator/>
      </w:r>
    </w:p>
  </w:footnote>
  <w:footnote w:type="continuationSeparator" w:id="0">
    <w:p w:rsidR="00821FB6" w:rsidRDefault="00821FB6" w:rsidP="009959EB">
      <w:r>
        <w:continuationSeparator/>
      </w:r>
    </w:p>
  </w:footnote>
  <w:footnote w:id="1">
    <w:p w:rsidR="009959EB" w:rsidRDefault="009959EB" w:rsidP="009959EB">
      <w:pPr>
        <w:pStyle w:val="a4"/>
        <w:ind w:left="566" w:hanging="566"/>
        <w:jc w:val="lowKashida"/>
        <w:rPr>
          <w:rtl/>
        </w:rPr>
      </w:pPr>
      <w:r>
        <w:rPr>
          <w:rtl/>
        </w:rPr>
        <w:t xml:space="preserve">* - " ونذكر في هذا الصدد ان كلمة ( النظرية ) في اليونانية كانت تعني في البداية </w:t>
      </w:r>
      <w:proofErr w:type="spellStart"/>
      <w:r>
        <w:rPr>
          <w:rtl/>
        </w:rPr>
        <w:t>شيئأ</w:t>
      </w:r>
      <w:proofErr w:type="spellEnd"/>
      <w:r>
        <w:rPr>
          <w:rtl/>
        </w:rPr>
        <w:t xml:space="preserve"> اشبه </w:t>
      </w:r>
      <w:proofErr w:type="spellStart"/>
      <w:r>
        <w:rPr>
          <w:rtl/>
        </w:rPr>
        <w:t>بتامل</w:t>
      </w:r>
      <w:proofErr w:type="spellEnd"/>
      <w:r>
        <w:rPr>
          <w:rtl/>
        </w:rPr>
        <w:t xml:space="preserve"> منظر طبيعي "    ( رسل ، </w:t>
      </w:r>
      <w:proofErr w:type="spellStart"/>
      <w:r>
        <w:rPr>
          <w:rtl/>
        </w:rPr>
        <w:t>برتراند</w:t>
      </w:r>
      <w:proofErr w:type="spellEnd"/>
      <w:r>
        <w:rPr>
          <w:rtl/>
        </w:rPr>
        <w:t xml:space="preserve"> : حكمة الغرب ، ترجمة : فؤاد زكريا ، سلسلة عالم المعرفة ، يصدرها المجلس الوطني للثقافة والفنون </w:t>
      </w:r>
      <w:proofErr w:type="spellStart"/>
      <w:r>
        <w:rPr>
          <w:rtl/>
        </w:rPr>
        <w:t>والاداب</w:t>
      </w:r>
      <w:proofErr w:type="spellEnd"/>
      <w:r>
        <w:rPr>
          <w:rtl/>
        </w:rPr>
        <w:t xml:space="preserve"> </w:t>
      </w:r>
      <w:r>
        <w:t>–</w:t>
      </w:r>
      <w:r>
        <w:rPr>
          <w:rtl/>
        </w:rPr>
        <w:t xml:space="preserve"> الكويت ، ج</w:t>
      </w:r>
      <w:r>
        <w:rPr>
          <w:vertAlign w:val="subscript"/>
          <w:rtl/>
        </w:rPr>
        <w:t xml:space="preserve">1 </w:t>
      </w:r>
      <w:r>
        <w:rPr>
          <w:rtl/>
        </w:rPr>
        <w:t>، 1983 ، ص</w:t>
      </w:r>
      <w:r>
        <w:rPr>
          <w:vertAlign w:val="superscript"/>
          <w:rtl/>
        </w:rPr>
        <w:t xml:space="preserve">28 </w:t>
      </w:r>
      <w:r>
        <w:rPr>
          <w:rtl/>
        </w:rPr>
        <w:t>) .</w:t>
      </w:r>
    </w:p>
    <w:p w:rsidR="009959EB" w:rsidRDefault="009959EB" w:rsidP="009959EB">
      <w:pPr>
        <w:pStyle w:val="a4"/>
        <w:jc w:val="lowKashida"/>
        <w:rPr>
          <w:rtl/>
        </w:rPr>
      </w:pPr>
      <w:r>
        <w:rPr>
          <w:rStyle w:val="a3"/>
          <w:rtl/>
        </w:rPr>
        <w:footnoteRef/>
      </w:r>
      <w:r>
        <w:rPr>
          <w:rtl/>
        </w:rPr>
        <w:t xml:space="preserve"> - انظر : عباس ، عبدالمنعم ، راويا : القيم الجمالية ، دار المعرفة الجامعية ، 1987 ، ص</w:t>
      </w:r>
      <w:r>
        <w:rPr>
          <w:vertAlign w:val="superscript"/>
          <w:rtl/>
        </w:rPr>
        <w:t xml:space="preserve">23 </w:t>
      </w:r>
      <w:r>
        <w:rPr>
          <w:vertAlign w:val="superscript"/>
        </w:rPr>
        <w:t>–</w:t>
      </w:r>
      <w:r>
        <w:rPr>
          <w:vertAlign w:val="superscript"/>
          <w:rtl/>
        </w:rPr>
        <w:t xml:space="preserve"> 24 </w:t>
      </w:r>
      <w:r>
        <w:rPr>
          <w:rtl/>
        </w:rPr>
        <w:t>.</w:t>
      </w:r>
    </w:p>
  </w:footnote>
  <w:footnote w:id="2">
    <w:p w:rsidR="009959EB" w:rsidRDefault="009959EB" w:rsidP="009959EB">
      <w:pPr>
        <w:pStyle w:val="a4"/>
        <w:jc w:val="lowKashida"/>
        <w:rPr>
          <w:rtl/>
        </w:rPr>
      </w:pPr>
      <w:r>
        <w:rPr>
          <w:rStyle w:val="a3"/>
          <w:rtl/>
        </w:rPr>
        <w:footnoteRef/>
      </w:r>
      <w:r>
        <w:rPr>
          <w:rtl/>
        </w:rPr>
        <w:t xml:space="preserve"> - انظر : مطر ، حلمي ، اميرة : فلسفة الجمال </w:t>
      </w:r>
      <w:proofErr w:type="spellStart"/>
      <w:r>
        <w:rPr>
          <w:rtl/>
        </w:rPr>
        <w:t>نشئتها</w:t>
      </w:r>
      <w:proofErr w:type="spellEnd"/>
      <w:r>
        <w:rPr>
          <w:rtl/>
        </w:rPr>
        <w:t xml:space="preserve"> وتطورها ، </w:t>
      </w:r>
      <w:proofErr w:type="spellStart"/>
      <w:r>
        <w:rPr>
          <w:rtl/>
        </w:rPr>
        <w:t>المصدرق</w:t>
      </w:r>
      <w:proofErr w:type="spellEnd"/>
      <w:r>
        <w:rPr>
          <w:rtl/>
        </w:rPr>
        <w:t xml:space="preserve"> السابق نفسة ، ص</w:t>
      </w:r>
      <w:r>
        <w:rPr>
          <w:vertAlign w:val="superscript"/>
          <w:rtl/>
        </w:rPr>
        <w:t xml:space="preserve">18 </w:t>
      </w:r>
      <w:r>
        <w:rPr>
          <w:vertAlign w:val="superscript"/>
        </w:rPr>
        <w:t>–</w:t>
      </w:r>
      <w:r>
        <w:rPr>
          <w:vertAlign w:val="superscript"/>
          <w:rtl/>
        </w:rPr>
        <w:t xml:space="preserve"> 19 </w:t>
      </w:r>
      <w:r>
        <w:rPr>
          <w:rtl/>
        </w:rPr>
        <w:t>.</w:t>
      </w:r>
    </w:p>
  </w:footnote>
  <w:footnote w:id="3">
    <w:p w:rsidR="009959EB" w:rsidRDefault="009959EB" w:rsidP="009959EB">
      <w:pPr>
        <w:pStyle w:val="a4"/>
        <w:ind w:left="424" w:hanging="424"/>
        <w:jc w:val="lowKashida"/>
        <w:rPr>
          <w:rtl/>
        </w:rPr>
      </w:pPr>
      <w:r>
        <w:rPr>
          <w:rStyle w:val="a3"/>
          <w:rtl/>
        </w:rPr>
        <w:footnoteRef/>
      </w:r>
      <w:r>
        <w:rPr>
          <w:rtl/>
        </w:rPr>
        <w:t xml:space="preserve"> - انظر : </w:t>
      </w:r>
      <w:proofErr w:type="spellStart"/>
      <w:r>
        <w:rPr>
          <w:rtl/>
        </w:rPr>
        <w:t>اوفسيانيكوف</w:t>
      </w:r>
      <w:proofErr w:type="spellEnd"/>
      <w:r>
        <w:rPr>
          <w:rtl/>
        </w:rPr>
        <w:t xml:space="preserve"> . م ، نوفا ، سمير . ز : موجز تاريخ النظريات الجمالية ، تعريب : باسم السقا ، بيروت : دار الفارابي ، 1979 ، ص</w:t>
      </w:r>
      <w:r>
        <w:rPr>
          <w:vertAlign w:val="superscript"/>
          <w:rtl/>
        </w:rPr>
        <w:t xml:space="preserve">12 </w:t>
      </w:r>
      <w:r>
        <w:rPr>
          <w:rtl/>
        </w:rPr>
        <w:t>و ابراهيم ، عبدالله : المركزية الغربية اشكالية التكون والتمركز حول الذات ، بيروت : المركز الثقافي العربي ، ط</w:t>
      </w:r>
      <w:r>
        <w:rPr>
          <w:vertAlign w:val="subscript"/>
          <w:rtl/>
        </w:rPr>
        <w:t xml:space="preserve">1 </w:t>
      </w:r>
      <w:r>
        <w:rPr>
          <w:rtl/>
        </w:rPr>
        <w:t>، 1997، ص</w:t>
      </w:r>
      <w:r>
        <w:rPr>
          <w:vertAlign w:val="superscript"/>
          <w:rtl/>
        </w:rPr>
        <w:t xml:space="preserve">168 </w:t>
      </w:r>
      <w:r>
        <w:rPr>
          <w:rtl/>
        </w:rPr>
        <w:t>.</w:t>
      </w:r>
    </w:p>
  </w:footnote>
  <w:footnote w:id="4">
    <w:p w:rsidR="009959EB" w:rsidRDefault="009959EB" w:rsidP="009959EB">
      <w:pPr>
        <w:pStyle w:val="a4"/>
        <w:jc w:val="lowKashida"/>
        <w:rPr>
          <w:rtl/>
        </w:rPr>
      </w:pPr>
      <w:r>
        <w:rPr>
          <w:rStyle w:val="a3"/>
          <w:rtl/>
        </w:rPr>
        <w:footnoteRef/>
      </w:r>
      <w:r>
        <w:rPr>
          <w:rtl/>
        </w:rPr>
        <w:t xml:space="preserve"> - انظر : كرم ، يوسف : تاريخ الفلسفة اليونانية ، بيروت : دار العلم ، د ت ، ص</w:t>
      </w:r>
      <w:r>
        <w:rPr>
          <w:vertAlign w:val="superscript"/>
          <w:rtl/>
        </w:rPr>
        <w:t xml:space="preserve">22 </w:t>
      </w:r>
      <w:r>
        <w:rPr>
          <w:rtl/>
        </w:rPr>
        <w:t>.</w:t>
      </w:r>
    </w:p>
  </w:footnote>
  <w:footnote w:id="5">
    <w:p w:rsidR="009959EB" w:rsidRDefault="009959EB" w:rsidP="009959EB">
      <w:pPr>
        <w:pStyle w:val="a4"/>
        <w:jc w:val="lowKashida"/>
        <w:rPr>
          <w:rtl/>
        </w:rPr>
      </w:pPr>
      <w:r>
        <w:rPr>
          <w:rStyle w:val="a3"/>
          <w:rtl/>
        </w:rPr>
        <w:footnoteRef/>
      </w:r>
      <w:r>
        <w:rPr>
          <w:rtl/>
        </w:rPr>
        <w:t xml:space="preserve"> - انظر : ابراهيم ، عبدالله : المصدر السابق نفسه ، ص</w:t>
      </w:r>
      <w:r>
        <w:rPr>
          <w:vertAlign w:val="superscript"/>
          <w:rtl/>
        </w:rPr>
        <w:t xml:space="preserve">168 </w:t>
      </w:r>
      <w:r>
        <w:rPr>
          <w:rtl/>
        </w:rPr>
        <w:t>.</w:t>
      </w:r>
    </w:p>
  </w:footnote>
  <w:footnote w:id="6">
    <w:p w:rsidR="009959EB" w:rsidRDefault="009959EB" w:rsidP="009959EB">
      <w:pPr>
        <w:pStyle w:val="a4"/>
        <w:ind w:left="424" w:hanging="424"/>
        <w:jc w:val="lowKashida"/>
        <w:rPr>
          <w:rtl/>
        </w:rPr>
      </w:pPr>
      <w:r>
        <w:rPr>
          <w:rStyle w:val="a3"/>
          <w:rtl/>
        </w:rPr>
        <w:footnoteRef/>
      </w:r>
      <w:r>
        <w:rPr>
          <w:rtl/>
        </w:rPr>
        <w:t xml:space="preserve"> - انظر : ال ياسين ، جعفر : فلاسفة يونانيون من طاليس الى سقراط ، بغداد : مطبعة الاديب ، ط</w:t>
      </w:r>
      <w:r>
        <w:rPr>
          <w:vertAlign w:val="subscript"/>
          <w:rtl/>
        </w:rPr>
        <w:t xml:space="preserve">3 </w:t>
      </w:r>
      <w:r>
        <w:rPr>
          <w:rtl/>
        </w:rPr>
        <w:t>، د ت ،    ص</w:t>
      </w:r>
      <w:r>
        <w:rPr>
          <w:vertAlign w:val="superscript"/>
          <w:rtl/>
        </w:rPr>
        <w:t xml:space="preserve">32 </w:t>
      </w:r>
      <w:r>
        <w:rPr>
          <w:vertAlign w:val="superscript"/>
        </w:rPr>
        <w:t>–</w:t>
      </w:r>
      <w:r>
        <w:rPr>
          <w:vertAlign w:val="superscript"/>
          <w:rtl/>
        </w:rPr>
        <w:t xml:space="preserve"> 35 </w:t>
      </w:r>
      <w:r>
        <w:rPr>
          <w:rtl/>
        </w:rPr>
        <w:t>.</w:t>
      </w:r>
    </w:p>
  </w:footnote>
  <w:footnote w:id="7">
    <w:p w:rsidR="009959EB" w:rsidRDefault="009959EB" w:rsidP="009959EB">
      <w:pPr>
        <w:pStyle w:val="a4"/>
        <w:jc w:val="lowKashida"/>
        <w:rPr>
          <w:rtl/>
        </w:rPr>
      </w:pPr>
      <w:r>
        <w:rPr>
          <w:rStyle w:val="a3"/>
          <w:rtl/>
        </w:rPr>
        <w:footnoteRef/>
      </w:r>
      <w:r>
        <w:rPr>
          <w:rtl/>
        </w:rPr>
        <w:t xml:space="preserve"> - انظر : </w:t>
      </w:r>
      <w:proofErr w:type="spellStart"/>
      <w:r>
        <w:rPr>
          <w:rtl/>
        </w:rPr>
        <w:t>اوفسيانيكوف</w:t>
      </w:r>
      <w:proofErr w:type="spellEnd"/>
      <w:r>
        <w:rPr>
          <w:rtl/>
        </w:rPr>
        <w:t xml:space="preserve"> . م ، نوفا ، سمير . ز : المصدر السابق نفسه ، ص</w:t>
      </w:r>
      <w:r>
        <w:rPr>
          <w:vertAlign w:val="superscript"/>
          <w:rtl/>
        </w:rPr>
        <w:t xml:space="preserve">12 </w:t>
      </w:r>
      <w:r>
        <w:rPr>
          <w:rtl/>
        </w:rPr>
        <w:t>.</w:t>
      </w:r>
    </w:p>
  </w:footnote>
  <w:footnote w:id="8">
    <w:p w:rsidR="009959EB" w:rsidRDefault="009959EB" w:rsidP="009959EB">
      <w:pPr>
        <w:pStyle w:val="a4"/>
        <w:jc w:val="lowKashida"/>
        <w:rPr>
          <w:rtl/>
        </w:rPr>
      </w:pPr>
      <w:r>
        <w:rPr>
          <w:rStyle w:val="a3"/>
          <w:rtl/>
        </w:rPr>
        <w:footnoteRef/>
      </w:r>
      <w:r>
        <w:rPr>
          <w:rtl/>
        </w:rPr>
        <w:t xml:space="preserve"> - انظر : فخري ، ماجد : تاريخ الفلسفة اليونانية ، بيروت : دار العلم للملايين ، 1991 ، ص</w:t>
      </w:r>
      <w:r>
        <w:rPr>
          <w:vertAlign w:val="superscript"/>
          <w:rtl/>
        </w:rPr>
        <w:t xml:space="preserve">33 </w:t>
      </w:r>
      <w:r>
        <w:rPr>
          <w:rtl/>
        </w:rPr>
        <w:t>.</w:t>
      </w:r>
    </w:p>
  </w:footnote>
  <w:footnote w:id="9">
    <w:p w:rsidR="009959EB" w:rsidRDefault="009959EB" w:rsidP="009959EB">
      <w:pPr>
        <w:pStyle w:val="a4"/>
        <w:jc w:val="lowKashida"/>
        <w:rPr>
          <w:rtl/>
        </w:rPr>
      </w:pPr>
      <w:r>
        <w:rPr>
          <w:rStyle w:val="a3"/>
          <w:rtl/>
        </w:rPr>
        <w:footnoteRef/>
      </w:r>
      <w:r>
        <w:rPr>
          <w:rtl/>
        </w:rPr>
        <w:t xml:space="preserve"> - انظر : رسل ، </w:t>
      </w:r>
      <w:proofErr w:type="spellStart"/>
      <w:r>
        <w:rPr>
          <w:rtl/>
        </w:rPr>
        <w:t>برتراند</w:t>
      </w:r>
      <w:proofErr w:type="spellEnd"/>
      <w:r>
        <w:rPr>
          <w:rtl/>
        </w:rPr>
        <w:t xml:space="preserve"> : حكمة الغرب ، المصدر السابق نفسه ، ص</w:t>
      </w:r>
      <w:r>
        <w:rPr>
          <w:vertAlign w:val="superscript"/>
          <w:rtl/>
        </w:rPr>
        <w:t xml:space="preserve">46 </w:t>
      </w:r>
      <w:r>
        <w:rPr>
          <w:vertAlign w:val="superscript"/>
        </w:rPr>
        <w:t>–</w:t>
      </w:r>
      <w:r>
        <w:rPr>
          <w:vertAlign w:val="superscript"/>
          <w:rtl/>
        </w:rPr>
        <w:t xml:space="preserve"> 51 </w:t>
      </w:r>
      <w:r>
        <w:rPr>
          <w:rtl/>
        </w:rPr>
        <w:t>.</w:t>
      </w:r>
    </w:p>
  </w:footnote>
  <w:footnote w:id="10">
    <w:p w:rsidR="009959EB" w:rsidRDefault="009959EB" w:rsidP="009959EB">
      <w:pPr>
        <w:pStyle w:val="a4"/>
        <w:jc w:val="lowKashida"/>
        <w:rPr>
          <w:rtl/>
        </w:rPr>
      </w:pPr>
      <w:r>
        <w:rPr>
          <w:rStyle w:val="a3"/>
          <w:rtl/>
        </w:rPr>
        <w:footnoteRef/>
      </w:r>
      <w:r>
        <w:rPr>
          <w:rtl/>
        </w:rPr>
        <w:t xml:space="preserve"> - انظر : كرم ، يوسف : المصدر السابق نفسه ، ص</w:t>
      </w:r>
      <w:r>
        <w:rPr>
          <w:vertAlign w:val="superscript"/>
          <w:rtl/>
        </w:rPr>
        <w:t xml:space="preserve">17 </w:t>
      </w:r>
      <w:r>
        <w:rPr>
          <w:vertAlign w:val="superscript"/>
        </w:rPr>
        <w:t>–</w:t>
      </w:r>
      <w:r>
        <w:rPr>
          <w:vertAlign w:val="superscript"/>
          <w:rtl/>
        </w:rPr>
        <w:t xml:space="preserve"> 18 </w:t>
      </w:r>
      <w:r>
        <w:rPr>
          <w:rtl/>
        </w:rPr>
        <w:t>.</w:t>
      </w:r>
    </w:p>
  </w:footnote>
  <w:footnote w:id="11">
    <w:p w:rsidR="009959EB" w:rsidRDefault="009959EB" w:rsidP="009959EB">
      <w:pPr>
        <w:pStyle w:val="a4"/>
        <w:jc w:val="lowKashida"/>
        <w:rPr>
          <w:rtl/>
        </w:rPr>
      </w:pPr>
      <w:r>
        <w:rPr>
          <w:rStyle w:val="a3"/>
          <w:rtl/>
        </w:rPr>
        <w:footnoteRef/>
      </w:r>
      <w:r>
        <w:rPr>
          <w:rtl/>
        </w:rPr>
        <w:t xml:space="preserve"> - انظر : </w:t>
      </w:r>
      <w:proofErr w:type="spellStart"/>
      <w:r>
        <w:rPr>
          <w:rtl/>
        </w:rPr>
        <w:t>اوفسيانيكوف</w:t>
      </w:r>
      <w:proofErr w:type="spellEnd"/>
      <w:r>
        <w:rPr>
          <w:rtl/>
        </w:rPr>
        <w:t xml:space="preserve"> . م ، نوفا ، سمير . ز : المصدر السابق نفسه ، ص</w:t>
      </w:r>
      <w:r>
        <w:rPr>
          <w:vertAlign w:val="superscript"/>
          <w:rtl/>
        </w:rPr>
        <w:t xml:space="preserve">15 </w:t>
      </w:r>
      <w:r>
        <w:rPr>
          <w:rtl/>
        </w:rPr>
        <w:t>.</w:t>
      </w:r>
    </w:p>
  </w:footnote>
  <w:footnote w:id="12">
    <w:p w:rsidR="009959EB" w:rsidRDefault="009959EB" w:rsidP="009959EB">
      <w:pPr>
        <w:pStyle w:val="a4"/>
        <w:jc w:val="lowKashida"/>
        <w:rPr>
          <w:rtl/>
        </w:rPr>
      </w:pPr>
      <w:r>
        <w:rPr>
          <w:rStyle w:val="a3"/>
          <w:rtl/>
        </w:rPr>
        <w:footnoteRef/>
      </w:r>
      <w:r>
        <w:rPr>
          <w:rtl/>
        </w:rPr>
        <w:t xml:space="preserve"> - انظر : </w:t>
      </w:r>
      <w:proofErr w:type="spellStart"/>
      <w:r>
        <w:rPr>
          <w:rtl/>
        </w:rPr>
        <w:t>اوفسيانيكوف</w:t>
      </w:r>
      <w:proofErr w:type="spellEnd"/>
      <w:r>
        <w:rPr>
          <w:rtl/>
        </w:rPr>
        <w:t xml:space="preserve"> . م ، نوفا ، سمير . ز : المصدر السابق نفسه ، ص</w:t>
      </w:r>
      <w:r>
        <w:rPr>
          <w:vertAlign w:val="superscript"/>
          <w:rtl/>
        </w:rPr>
        <w:t xml:space="preserve">15 </w:t>
      </w:r>
      <w:r>
        <w:rPr>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EB"/>
    <w:rsid w:val="00821FB6"/>
    <w:rsid w:val="00976CAB"/>
    <w:rsid w:val="009959EB"/>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9EB"/>
    <w:pPr>
      <w:bidi/>
      <w:spacing w:after="0" w:line="240" w:lineRule="auto"/>
    </w:pPr>
    <w:rPr>
      <w:rFonts w:ascii="Times New Roman" w:eastAsia="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9959EB"/>
    <w:rPr>
      <w:vertAlign w:val="superscript"/>
    </w:rPr>
  </w:style>
  <w:style w:type="paragraph" w:styleId="a4">
    <w:name w:val="footnote text"/>
    <w:basedOn w:val="a"/>
    <w:link w:val="Char"/>
    <w:semiHidden/>
    <w:rsid w:val="009959EB"/>
    <w:rPr>
      <w:sz w:val="20"/>
      <w:szCs w:val="24"/>
    </w:rPr>
  </w:style>
  <w:style w:type="character" w:customStyle="1" w:styleId="Char">
    <w:name w:val="نص حاشية سفلية Char"/>
    <w:basedOn w:val="a0"/>
    <w:link w:val="a4"/>
    <w:semiHidden/>
    <w:rsid w:val="009959EB"/>
    <w:rPr>
      <w:rFonts w:ascii="Times New Roman" w:eastAsia="Times New Roman" w:hAnsi="Times New Roman" w:cs="Simplified Arabic"/>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9EB"/>
    <w:pPr>
      <w:bidi/>
      <w:spacing w:after="0" w:line="240" w:lineRule="auto"/>
    </w:pPr>
    <w:rPr>
      <w:rFonts w:ascii="Times New Roman" w:eastAsia="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9959EB"/>
    <w:rPr>
      <w:vertAlign w:val="superscript"/>
    </w:rPr>
  </w:style>
  <w:style w:type="paragraph" w:styleId="a4">
    <w:name w:val="footnote text"/>
    <w:basedOn w:val="a"/>
    <w:link w:val="Char"/>
    <w:semiHidden/>
    <w:rsid w:val="009959EB"/>
    <w:rPr>
      <w:sz w:val="20"/>
      <w:szCs w:val="24"/>
    </w:rPr>
  </w:style>
  <w:style w:type="character" w:customStyle="1" w:styleId="Char">
    <w:name w:val="نص حاشية سفلية Char"/>
    <w:basedOn w:val="a0"/>
    <w:link w:val="a4"/>
    <w:semiHidden/>
    <w:rsid w:val="009959EB"/>
    <w:rPr>
      <w:rFonts w:ascii="Times New Roman" w:eastAsia="Times New Roman" w:hAnsi="Times New Roman" w:cs="Simplified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485</Words>
  <Characters>2767</Characters>
  <Application>Microsoft Office Word</Application>
  <DocSecurity>0</DocSecurity>
  <Lines>23</Lines>
  <Paragraphs>6</Paragraphs>
  <ScaleCrop>false</ScaleCrop>
  <Company>SACC</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2020-03-02T14:58:00Z</dcterms:created>
  <dcterms:modified xsi:type="dcterms:W3CDTF">2020-03-02T15:06:00Z</dcterms:modified>
</cp:coreProperties>
</file>