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42" w:rsidRPr="00DD78EF" w:rsidRDefault="001D1642" w:rsidP="001D1642">
      <w:pPr>
        <w:jc w:val="both"/>
        <w:rPr>
          <w:b/>
          <w:bCs/>
          <w:sz w:val="36"/>
          <w:szCs w:val="36"/>
          <w:rtl/>
        </w:rPr>
      </w:pPr>
      <w:r w:rsidRPr="00DD78EF">
        <w:rPr>
          <w:rFonts w:hint="cs"/>
          <w:b/>
          <w:bCs/>
          <w:sz w:val="36"/>
          <w:szCs w:val="36"/>
          <w:rtl/>
        </w:rPr>
        <w:t xml:space="preserve">المناهج النقدية الحديثة </w:t>
      </w:r>
    </w:p>
    <w:p w:rsidR="001D1642" w:rsidRDefault="001D1642" w:rsidP="001D1642">
      <w:pPr>
        <w:pStyle w:val="a3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 w:rsidRPr="00DD78EF">
        <w:rPr>
          <w:rFonts w:hint="cs"/>
          <w:b/>
          <w:bCs/>
          <w:sz w:val="36"/>
          <w:szCs w:val="36"/>
          <w:rtl/>
        </w:rPr>
        <w:t xml:space="preserve">البنيوية </w:t>
      </w:r>
    </w:p>
    <w:p w:rsidR="001D1642" w:rsidRDefault="001D1642" w:rsidP="001D1642">
      <w:pPr>
        <w:ind w:left="360"/>
        <w:jc w:val="both"/>
        <w:rPr>
          <w:sz w:val="32"/>
          <w:szCs w:val="32"/>
          <w:rtl/>
        </w:rPr>
      </w:pPr>
      <w:r w:rsidRPr="00DD78EF">
        <w:rPr>
          <w:rFonts w:hint="cs"/>
          <w:sz w:val="32"/>
          <w:szCs w:val="32"/>
          <w:rtl/>
        </w:rPr>
        <w:t xml:space="preserve">لمعرفة مفهوم البنيوية ينبغي في البدء معرفة ماهيتها وابعادها للإحاطة </w:t>
      </w:r>
      <w:proofErr w:type="spellStart"/>
      <w:r w:rsidRPr="00DD78EF">
        <w:rPr>
          <w:rFonts w:hint="cs"/>
          <w:sz w:val="32"/>
          <w:szCs w:val="32"/>
          <w:rtl/>
        </w:rPr>
        <w:t>بالاسس</w:t>
      </w:r>
      <w:proofErr w:type="spellEnd"/>
      <w:r w:rsidRPr="00DD78EF">
        <w:rPr>
          <w:rFonts w:hint="cs"/>
          <w:sz w:val="32"/>
          <w:szCs w:val="32"/>
          <w:rtl/>
        </w:rPr>
        <w:t xml:space="preserve"> الفلسفية</w:t>
      </w:r>
      <w:r>
        <w:rPr>
          <w:rFonts w:hint="cs"/>
          <w:sz w:val="32"/>
          <w:szCs w:val="32"/>
          <w:rtl/>
        </w:rPr>
        <w:t xml:space="preserve"> التي ترتكز عليها وتطلق الكلمة على الأصل اللغوي اللاتيني لكلمة بنية والذي يقصد </w:t>
      </w:r>
      <w:proofErr w:type="spellStart"/>
      <w:r>
        <w:rPr>
          <w:rFonts w:hint="cs"/>
          <w:sz w:val="32"/>
          <w:szCs w:val="32"/>
          <w:rtl/>
        </w:rPr>
        <w:t>بة</w:t>
      </w:r>
      <w:proofErr w:type="spellEnd"/>
      <w:r>
        <w:rPr>
          <w:rFonts w:hint="cs"/>
          <w:sz w:val="32"/>
          <w:szCs w:val="32"/>
          <w:rtl/>
        </w:rPr>
        <w:t xml:space="preserve"> البناء أو الطريقة لأقامه البناء والتضامن بين </w:t>
      </w:r>
      <w:proofErr w:type="spellStart"/>
      <w:r>
        <w:rPr>
          <w:rFonts w:hint="cs"/>
          <w:sz w:val="32"/>
          <w:szCs w:val="32"/>
          <w:rtl/>
        </w:rPr>
        <w:t>أجزائه,أما</w:t>
      </w:r>
      <w:proofErr w:type="spellEnd"/>
      <w:r>
        <w:rPr>
          <w:rFonts w:hint="cs"/>
          <w:sz w:val="32"/>
          <w:szCs w:val="32"/>
          <w:rtl/>
        </w:rPr>
        <w:t xml:space="preserve"> المفهوم من استخدام هذه الكلمة فيشمل (وضع الاجزاء في مبنى ما ) , ويقترب المعنى والمفهوم من استخدام هذه الكلمة في المصطلحات اللغوية العربية الذي يدل على (التشييد والبناء والتركيب).</w:t>
      </w:r>
    </w:p>
    <w:p w:rsidR="001D1642" w:rsidRDefault="001D1642" w:rsidP="001D1642">
      <w:pPr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وفي سياق استعراضنا لمفهوم البنية عند الفلاسفة ومنظري البنيوية من امثال بروب نجدة ميز بين معنى البنية في علاقة العناصر بعضها ببعض وعلاقة هذه العناصر بالكل.</w:t>
      </w:r>
    </w:p>
    <w:p w:rsidR="001D1642" w:rsidRDefault="001D1642" w:rsidP="001D1642">
      <w:pPr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في حين يشترط (</w:t>
      </w:r>
      <w:proofErr w:type="spellStart"/>
      <w:r>
        <w:rPr>
          <w:rFonts w:hint="cs"/>
          <w:sz w:val="32"/>
          <w:szCs w:val="32"/>
          <w:rtl/>
        </w:rPr>
        <w:t>كروبنير</w:t>
      </w:r>
      <w:proofErr w:type="spellEnd"/>
      <w:r>
        <w:rPr>
          <w:rFonts w:hint="cs"/>
          <w:sz w:val="32"/>
          <w:szCs w:val="32"/>
          <w:rtl/>
        </w:rPr>
        <w:t>)في البنية ان تكون ذات شكل . ويفرق (شتراوس) بين البيئة والشكل والمادة , فيرى المادة غريبة عن الشكل والبنية هي محتوى هذا الشكل .</w:t>
      </w:r>
    </w:p>
    <w:p w:rsidR="001D1642" w:rsidRDefault="001D1642" w:rsidP="001D1642">
      <w:pPr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ويؤكد جان كوهين على ان المادة واقعة عقلية وان الشكل هو اللغة والاسلوب او مجموع العلاقات القائمة على التعارض في </w:t>
      </w:r>
      <w:proofErr w:type="spellStart"/>
      <w:r>
        <w:rPr>
          <w:rFonts w:hint="cs"/>
          <w:sz w:val="32"/>
          <w:szCs w:val="32"/>
          <w:rtl/>
        </w:rPr>
        <w:t>الكامات</w:t>
      </w:r>
      <w:proofErr w:type="spellEnd"/>
      <w:r>
        <w:rPr>
          <w:rFonts w:hint="cs"/>
          <w:sz w:val="32"/>
          <w:szCs w:val="32"/>
          <w:rtl/>
        </w:rPr>
        <w:t xml:space="preserve"> في نسق لغوي. </w:t>
      </w:r>
    </w:p>
    <w:p w:rsidR="001D1642" w:rsidRDefault="001D1642" w:rsidP="001D1642">
      <w:pPr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وباتساع المعنى تكون البنية بمعناها الفلسفي </w:t>
      </w:r>
      <w:proofErr w:type="spellStart"/>
      <w:r>
        <w:rPr>
          <w:rFonts w:hint="cs"/>
          <w:sz w:val="32"/>
          <w:szCs w:val="32"/>
          <w:rtl/>
        </w:rPr>
        <w:t>مايكشف</w:t>
      </w:r>
      <w:proofErr w:type="spellEnd"/>
      <w:r>
        <w:rPr>
          <w:rFonts w:hint="cs"/>
          <w:sz w:val="32"/>
          <w:szCs w:val="32"/>
          <w:rtl/>
        </w:rPr>
        <w:t xml:space="preserve"> عنها التحليل الداخلي لكل العلاقات والعناصر القائمة بينهما ووضعها والنظام الذي </w:t>
      </w:r>
      <w:proofErr w:type="spellStart"/>
      <w:r>
        <w:rPr>
          <w:rFonts w:hint="cs"/>
          <w:sz w:val="32"/>
          <w:szCs w:val="32"/>
          <w:rtl/>
        </w:rPr>
        <w:t>تتخذة</w:t>
      </w:r>
      <w:proofErr w:type="spellEnd"/>
      <w:r>
        <w:rPr>
          <w:rFonts w:hint="cs"/>
          <w:sz w:val="32"/>
          <w:szCs w:val="32"/>
          <w:rtl/>
        </w:rPr>
        <w:t xml:space="preserve"> ويكشف هذا التحليل عن كل العلاقات الجوهرية والثانوية .</w:t>
      </w:r>
    </w:p>
    <w:p w:rsidR="001D1642" w:rsidRPr="00193902" w:rsidRDefault="001D1642" w:rsidP="001D1642">
      <w:pPr>
        <w:ind w:left="360"/>
        <w:jc w:val="both"/>
        <w:rPr>
          <w:b/>
          <w:bCs/>
          <w:sz w:val="32"/>
          <w:szCs w:val="32"/>
          <w:rtl/>
        </w:rPr>
      </w:pPr>
      <w:r w:rsidRPr="00193902">
        <w:rPr>
          <w:rFonts w:hint="cs"/>
          <w:b/>
          <w:bCs/>
          <w:sz w:val="32"/>
          <w:szCs w:val="32"/>
          <w:rtl/>
        </w:rPr>
        <w:t>المنطلقات التحليلية النظرية (للبنيوية)</w:t>
      </w:r>
    </w:p>
    <w:p w:rsidR="001D1642" w:rsidRDefault="001D1642" w:rsidP="001D164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75686B">
        <w:rPr>
          <w:rFonts w:hint="cs"/>
          <w:sz w:val="32"/>
          <w:szCs w:val="32"/>
          <w:rtl/>
        </w:rPr>
        <w:t xml:space="preserve">التحليل الداخلي للكل </w:t>
      </w:r>
      <w:proofErr w:type="spellStart"/>
      <w:r w:rsidRPr="0075686B">
        <w:rPr>
          <w:rFonts w:hint="cs"/>
          <w:sz w:val="32"/>
          <w:szCs w:val="32"/>
          <w:rtl/>
        </w:rPr>
        <w:t>وعناصرة</w:t>
      </w:r>
      <w:proofErr w:type="spellEnd"/>
      <w:r w:rsidRPr="0075686B">
        <w:rPr>
          <w:rFonts w:hint="cs"/>
          <w:sz w:val="32"/>
          <w:szCs w:val="32"/>
          <w:rtl/>
        </w:rPr>
        <w:t xml:space="preserve"> (من الكل الى الأجزاء)</w:t>
      </w:r>
    </w:p>
    <w:p w:rsidR="001D1642" w:rsidRDefault="001D1642" w:rsidP="001D164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التأكيد على نظام العلاقات بين العناصر</w:t>
      </w:r>
    </w:p>
    <w:p w:rsidR="001D1642" w:rsidRDefault="001D1642" w:rsidP="001D164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التأكيد على الوظائف الداخلية </w:t>
      </w:r>
      <w:proofErr w:type="spellStart"/>
      <w:r>
        <w:rPr>
          <w:rFonts w:hint="cs"/>
          <w:sz w:val="32"/>
          <w:szCs w:val="32"/>
          <w:rtl/>
        </w:rPr>
        <w:t>للأنساق</w:t>
      </w:r>
      <w:proofErr w:type="spellEnd"/>
    </w:p>
    <w:p w:rsidR="001D1642" w:rsidRDefault="001D1642" w:rsidP="001D164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تحويل الموضوع الى مجاميع</w:t>
      </w:r>
    </w:p>
    <w:p w:rsidR="001D1642" w:rsidRDefault="001D1642" w:rsidP="001D164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تأكيد الدراسة الاستقرائية للنتاج الفني</w:t>
      </w:r>
    </w:p>
    <w:p w:rsidR="001D1642" w:rsidRDefault="001D1642" w:rsidP="001D164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اعتماد الشكل والمضمون في لتحليل  </w:t>
      </w:r>
    </w:p>
    <w:p w:rsidR="001D1642" w:rsidRDefault="001D1642" w:rsidP="001D164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العلاقة بين الدال والمدلول تبدو نسقا من الأدلة وتظهر كمجوعة مبنية من العناصر , فيكون مدلول الدال هو مجموعة عناصر تحيل الى نفسها ,حيث ان الدال يعني الشكل والمدلول يعني المحتوى. </w:t>
      </w:r>
    </w:p>
    <w:p w:rsidR="00F306B9" w:rsidRPr="001D1642" w:rsidRDefault="00F306B9">
      <w:bookmarkStart w:id="0" w:name="_GoBack"/>
      <w:bookmarkEnd w:id="0"/>
    </w:p>
    <w:sectPr w:rsidR="00F306B9" w:rsidRPr="001D1642" w:rsidSect="002C7B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2D88"/>
    <w:multiLevelType w:val="hybridMultilevel"/>
    <w:tmpl w:val="33640612"/>
    <w:lvl w:ilvl="0" w:tplc="292CE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979AC"/>
    <w:multiLevelType w:val="hybridMultilevel"/>
    <w:tmpl w:val="44A8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42"/>
    <w:rsid w:val="001D1642"/>
    <w:rsid w:val="002C7B9D"/>
    <w:rsid w:val="00F3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4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4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Company>Enjoy My Fine Releases.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</cp:revision>
  <dcterms:created xsi:type="dcterms:W3CDTF">2020-03-02T16:24:00Z</dcterms:created>
  <dcterms:modified xsi:type="dcterms:W3CDTF">2020-03-02T16:24:00Z</dcterms:modified>
</cp:coreProperties>
</file>