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B" w:rsidRDefault="008B1ACB" w:rsidP="008B1ACB">
      <w:pPr>
        <w:bidi/>
        <w:spacing w:line="360" w:lineRule="auto"/>
        <w:ind w:left="24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</w:t>
      </w:r>
      <w:r w:rsidRPr="008B1ACB">
        <w:rPr>
          <w:rFonts w:hint="cs"/>
          <w:sz w:val="40"/>
          <w:szCs w:val="40"/>
          <w:rtl/>
          <w:lang w:bidi="ar-IQ"/>
        </w:rPr>
        <w:t>المحاضرة (7</w:t>
      </w:r>
      <w:proofErr w:type="spellStart"/>
      <w:r w:rsidRPr="008B1ACB">
        <w:rPr>
          <w:rFonts w:hint="cs"/>
          <w:sz w:val="40"/>
          <w:szCs w:val="40"/>
          <w:rtl/>
          <w:lang w:bidi="ar-IQ"/>
        </w:rPr>
        <w:t>)</w:t>
      </w:r>
      <w:proofErr w:type="spellEnd"/>
      <w:r w:rsidRPr="008B1ACB">
        <w:rPr>
          <w:rFonts w:hint="cs"/>
          <w:sz w:val="40"/>
          <w:szCs w:val="40"/>
          <w:rtl/>
          <w:lang w:bidi="ar-IQ"/>
        </w:rPr>
        <w:t xml:space="preserve"> في التربية الخاصة</w:t>
      </w:r>
      <w:r w:rsidRPr="008B1AC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8B1ACB" w:rsidRPr="006B65EF" w:rsidRDefault="008B1ACB" w:rsidP="008B1ACB">
      <w:pPr>
        <w:bidi/>
        <w:spacing w:line="360" w:lineRule="auto"/>
        <w:ind w:left="240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B65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التوجه الدولي اتجاه الفئات الخاصة </w:t>
      </w:r>
      <w:proofErr w:type="spellStart"/>
      <w:r w:rsidRPr="006B65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proofErr w:type="spellEnd"/>
    </w:p>
    <w:p w:rsidR="008B1ACB" w:rsidRPr="00D86F9B" w:rsidRDefault="008B1ACB" w:rsidP="008B1ACB">
      <w:pPr>
        <w:bidi/>
        <w:spacing w:line="360" w:lineRule="auto"/>
        <w:ind w:left="2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اعطى الاعلان العالمي لحقوق الانسان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1949م)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لموضوع رعاية المعوقين بعدا عالمياً ،من خلال ما تضمنه من فقرات في هذا الشأن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وأعقبه بعد ذلك إعلان حقوق الطفل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1950م)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لذي يساوي بين الاطفال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الحقوق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ويدعو إلى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وقايتهم من كل ما يمكن أن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يعوقهم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والى توفير العلاج والتربية المختصة والرعاية التي تقتضيها حالة الطف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 المصاب بعجز بسبب احدى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العاهات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وان يكفل للطفل المعوق الأمن من الناحيتين المادية والمعنوية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وبذلك أصبح هناك جهد دولي يتمتع بدرجة من التنسيق والتعاون في مجال رعاية المعوقين تمثل في صدور وثائق عديدة في هذا المجال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bidi/>
        <w:spacing w:line="360" w:lineRule="auto"/>
        <w:ind w:left="2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فقد صدر اعلان حقوق الأشخاص المتخلفين عقليا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1971م)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واعتمدت الجمعية العامة للأمم المتحدة بقرارها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(3447/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د 30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المؤرخ في التاسع من كانون الأول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1975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الإعلان في شأن حقوق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المعوقين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أعلنت سنة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1981م)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السنة العالمية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للمعوقين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1982م)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اعتمدت الجمعية العامة بقرارها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37/52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المؤرخ في الثالث من كانون الأول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1982م)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برنامج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العمل العالمي المتعلق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بالمعوقين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وجاء في هذا البرنامج ترجمة عملية من الأمم المتحدة لمفاهيم الشرعية العالمية لحقوق المعوق التي أقرتها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1975م)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وتكملة للسنة العالمية للمعوق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حددت مهلة عشر سنوات للحكومات المختلفة للعمل في تنفيذ مضامين هذا البرنامج العالمي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أذ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انها أعلنت عقد الأمم المتحدة للمعوقين خلال الفترة من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1983م)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حتى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1992م)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وهذا العقد يوفر إطاراً زمنياً للحكومات لتكثف في جهودها الرامية الى تحسين الظروف المعيشية للمواطنين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المعوقين،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وصدرت توصية بأن تجري على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فترات منتظمة عمليات رصد وتقييم على المستوى الدولي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والاقليمي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والوطني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بهدف تقييم حالة المعوقين وقياس درجة التطور في هذا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المجا</w:t>
      </w:r>
      <w:proofErr w:type="spellEnd"/>
    </w:p>
    <w:p w:rsidR="008B1ACB" w:rsidRPr="00D86F9B" w:rsidRDefault="008B1ACB" w:rsidP="008B1ACB">
      <w:pPr>
        <w:bidi/>
        <w:spacing w:line="360" w:lineRule="auto"/>
        <w:ind w:left="2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وبعد انتهاء هذا العقد من الزمن أصدرت الأمم المتحدة القواعد الموحدة في شأن تحقيق تكافؤ الفرص للمعوقين في عام (1944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والتي تم تبنيها في الدورة الثامنة والأربعين كانون الأول (1993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بموجب القرار (48/96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اعتمادا على الخبرة التي تحققت من العقد الزمني اعلاه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وكانت مجموع القواعد اثنان وعشرون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من مسؤولية الدول موزعة على النقاط الآتية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توعية المجتمع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العناية الطبية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التأهيل المناسب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الخدمات المساندة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إمكانية الوصول إلى ميادين المجتمع المحلي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التربية والتعليم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التوظيف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الضمان الاجتماعي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الحياة العائلية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الثقافة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النشاطات الترفيهية والرياضية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المشاركة في الأنشطة الدينية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أهمية المعلومات والأبحاث في موضوع الإعاقة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السياسات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والتخطيطات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الوطنية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التشريع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المسؤولية المالية لبرامج  الإعاقة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تأسيس المجموعات المحلية وتقويمها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حق منظمات المعوقين تمثيل أصحابها على الأصعدة المحلية والإقليمية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تأهيل الكوادر المعنية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مراقبة البرامج والخدمات وتقييمها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تعاون تقني واقتصادي بين البلدان الصناعية والمتنامية من أجل تحسين أوضاع المعوقين في البلدان المتنامية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تعاون دولي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bidi/>
        <w:spacing w:line="360" w:lineRule="auto"/>
        <w:ind w:left="885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ومع نهاية عقد المعوقين اتخذت بعض حكومات الدول المتقدمة سلسلة من الاجراءات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واصدرت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تشريعات هادفة إلى ضمان دمج المعوق في المجتمع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ففي أوربا مثلا تم إنشاء وزارات دولة لشؤون الإعاقة يرأسها وزير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مسؤول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تقوم بتنسيق النشاطات المختلفة  والخاصة بالإعاقة داخل الوزارات الاخرى والمجتمع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bidi/>
        <w:spacing w:line="360" w:lineRule="auto"/>
        <w:ind w:left="885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كما باشرت السوق المشتركة بإجراء لقاءات دورية لوزراء السوق المتخصصين بشؤون الإعاقة لتنسيق سياسة أوربية موحدة بهذا الخصوص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8B1ACB" w:rsidRPr="00D86F9B" w:rsidRDefault="008B1ACB" w:rsidP="008B1ACB">
      <w:pPr>
        <w:bidi/>
        <w:spacing w:line="360" w:lineRule="auto"/>
        <w:ind w:left="885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وقد عقد اجتماع في باريس في نهاية تشرين الأول (1991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وأصدرت قرارات تهدف إلى إطلاق سياسات مشتركة تتضمن دمج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العوق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المجتمع الأوربي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وتوحيد التوجهات الحكومية الأوربية في هذا المجال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ففي فرنسا يتم إنشاء وزارة دولة لشؤون المعوقين برئاسة وزير معوق هو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lang w:bidi="ar-IQ"/>
        </w:rPr>
        <w:t xml:space="preserve">Michel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lang w:bidi="ar-IQ"/>
        </w:rPr>
        <w:t>Jilibare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سبق ذلك إصدار سلسلة قوانين على أثر صدور الشرعة العالمية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1975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اما الولايات المتحدة الامريكية  فقد أصدر الكونجرس القانون العام  رقم     (101-336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يهدف إلى إلغاء التمييز كله ضد المعوقين داخل المجتمع الأمريكي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وبخاصة على صعيد العمل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والنقل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والمواصلات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والخدمات العامة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واكد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القانون بوجوب ازالة الحواجز كلها أمام المعوق خلال خمس سنوات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FF0832" w:rsidRDefault="00FF0832" w:rsidP="008B1ACB">
      <w:pPr>
        <w:jc w:val="center"/>
        <w:rPr>
          <w:rFonts w:hint="cs"/>
          <w:sz w:val="40"/>
          <w:szCs w:val="40"/>
          <w:rtl/>
          <w:lang w:bidi="ar-IQ"/>
        </w:rPr>
      </w:pPr>
    </w:p>
    <w:p w:rsidR="008B1ACB" w:rsidRPr="008B1ACB" w:rsidRDefault="008B1ACB" w:rsidP="008B1ACB">
      <w:pPr>
        <w:jc w:val="center"/>
        <w:rPr>
          <w:rFonts w:hint="cs"/>
          <w:sz w:val="40"/>
          <w:szCs w:val="40"/>
          <w:lang w:bidi="ar-IQ"/>
        </w:rPr>
      </w:pPr>
    </w:p>
    <w:sectPr w:rsidR="008B1ACB" w:rsidRPr="008B1ACB" w:rsidSect="00FF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3C7D"/>
    <w:multiLevelType w:val="hybridMultilevel"/>
    <w:tmpl w:val="375E75AE"/>
    <w:lvl w:ilvl="0" w:tplc="2904CAF2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1ACB"/>
    <w:rsid w:val="008B1ACB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Dr.amer</dc:creator>
  <cp:lastModifiedBy>Dr.amer</cp:lastModifiedBy>
  <cp:revision>1</cp:revision>
  <dcterms:created xsi:type="dcterms:W3CDTF">2020-02-29T14:29:00Z</dcterms:created>
  <dcterms:modified xsi:type="dcterms:W3CDTF">2020-02-29T14:31:00Z</dcterms:modified>
</cp:coreProperties>
</file>