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016127" w:rsidRDefault="00DB4BC7" w:rsidP="00DB4BC7">
      <w:pPr>
        <w:jc w:val="center"/>
        <w:rPr>
          <w:rFonts w:asciiTheme="minorBidi" w:hAnsiTheme="minorBidi"/>
          <w:b/>
          <w:bCs/>
          <w:sz w:val="44"/>
          <w:szCs w:val="44"/>
          <w:rtl/>
          <w:lang w:bidi="ar-IQ"/>
        </w:rPr>
      </w:pPr>
      <w:r w:rsidRPr="00016127">
        <w:rPr>
          <w:rFonts w:asciiTheme="minorBidi" w:hAnsiTheme="minorBidi"/>
          <w:b/>
          <w:bCs/>
          <w:sz w:val="44"/>
          <w:szCs w:val="44"/>
          <w:rtl/>
        </w:rPr>
        <w:t>النثر في العصر العباسي</w:t>
      </w:r>
    </w:p>
    <w:p w:rsidR="00DB4BC7" w:rsidRPr="00016127" w:rsidRDefault="00DB4BC7" w:rsidP="00DB4BC7">
      <w:pPr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زخر العصر العباسي بالأحداث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التاريخية،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والتقلبات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السياسية،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کما زخر بالتطورات الاجتماعية التي نقلت العرب من حال إلی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حال،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وقد کان لکل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هذا،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فضلا عن نضج العقول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بالثقافة،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أثر واضح في تطوير الأدب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بعامة،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والک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تابة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بصفة خاصة. لقد تقدمت الک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تابة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الفنية في هذا العصر تقدما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محسوسا؛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وسارت شوطا بعيدا في سبيل القوة والعمق والاتساع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  <w:r w:rsidRPr="00016127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</w:p>
    <w:p w:rsidR="00DB4BC7" w:rsidRPr="00016127" w:rsidRDefault="00DB4BC7" w:rsidP="00DB4BC7">
      <w:pPr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وأصبح النثر العربي في العصر العباسي متعدد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الفروع،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فهناك النثر العلمي والنثر الفلسفي والنثر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التاريخي،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والنثر الأدبي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الخالص،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وکان في بعض صوره امتدادا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للقديم؛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وکان في بعضها الآخر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مبت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>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را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لا عهد للعرب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به</w:t>
      </w:r>
      <w:proofErr w:type="spellEnd"/>
      <w:r w:rsidRPr="00016127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br/>
      </w: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وکان تشجيع الخلفاء والوزراء والرؤساء للأدب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ولل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>کتاب باعثا علی النهوض بالک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تابة،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داعيا إلی ارتفاع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شأنها،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وسمو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منزلتها،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ثم کان التنافس القوي بين الأدباء وتسابقهم إلی خدمة الخلفاء والرؤساء حافزا علی تجويدها والتأنق في أساليبها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 xml:space="preserve">.                          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br/>
      </w:r>
      <w:r w:rsidRPr="00016127">
        <w:rPr>
          <w:rFonts w:asciiTheme="minorBidi" w:hAnsiTheme="minorBidi"/>
          <w:b/>
          <w:bCs/>
          <w:sz w:val="28"/>
          <w:szCs w:val="28"/>
          <w:rtl/>
        </w:rPr>
        <w:t>إن الک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تابة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کانت جواز عبور إلی الوزارة وبعض الوظائف المرموقة في مرافق الدولة لذلك کان علی الراغبين في الوصول إلی هذه المناصب العليا إتقان صناعة الک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تابة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حتی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يحققوا أهدافهم التي کانوا يطمحون إليها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  <w:proofErr w:type="spellEnd"/>
    </w:p>
    <w:p w:rsidR="00DB4BC7" w:rsidRPr="00016127" w:rsidRDefault="00DB4BC7" w:rsidP="00DB4BC7">
      <w:pPr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والأغراض التی عبر عنها النثر الفني في هذا العصر قد اختلفت و«بعد أن کان النثر الأموي خطابته وک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تابته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منصرفا بوجه عام إلی أغراض سياسية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وحزبية،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ولم يتجه إلی الأغراض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الأخری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إلا في صورة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ضئيلة،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فانه في العصر العباسي قد اتجه إلی 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ثير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من الأغراض والموضوعات الشخصية والاجتماعية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والانسانية؛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کالمدح والهجاء والرثاء والاعتذار والتهنئة والتعزية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والاستعطاف،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والوصف والنسيب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والف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>کاهة والنصح</w:t>
      </w:r>
      <w:r w:rsidRPr="00016127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                        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br/>
      </w: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ونستطيع القول بأن النثر خطا خطوة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واسعة؛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فهو لم يتطور من حيث موضوعاته وأغراضه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فقط؛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بل إن معانيه قد اتسعت وأفکاره قد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عمقت،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وأخيلته قد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شحذت؛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لأن مشاهد الحياة ومقوماتها العامة قد تغيرت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DB4BC7" w:rsidRPr="00016127" w:rsidRDefault="00DB4BC7" w:rsidP="00DB4BC7">
      <w:pPr>
        <w:jc w:val="center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16127">
        <w:rPr>
          <w:rFonts w:asciiTheme="minorBidi" w:hAnsiTheme="minorBidi"/>
          <w:b/>
          <w:bCs/>
          <w:sz w:val="32"/>
          <w:szCs w:val="32"/>
          <w:rtl/>
        </w:rPr>
        <w:t>مظاهر نهضة النثر في العصر العباسي</w:t>
      </w:r>
      <w:r w:rsidRPr="00016127">
        <w:rPr>
          <w:rFonts w:asciiTheme="minorBidi" w:hAnsiTheme="minorBidi"/>
          <w:b/>
          <w:bCs/>
          <w:sz w:val="32"/>
          <w:szCs w:val="32"/>
          <w:lang w:bidi="ar-IQ"/>
        </w:rPr>
        <w:t>:</w:t>
      </w:r>
    </w:p>
    <w:p w:rsidR="00DB4BC7" w:rsidRPr="00016127" w:rsidRDefault="00DB4BC7" w:rsidP="00DB4BC7">
      <w:pPr>
        <w:pStyle w:val="a3"/>
        <w:numPr>
          <w:ilvl w:val="0"/>
          <w:numId w:val="12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تنوع فنونه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وأغراضه: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فقد تناول کل مجالات الحياة واستخدمته الدولة في الشؤون السياسية والاجتماعية والثقافية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DB4BC7" w:rsidRPr="00016127" w:rsidRDefault="00DB4BC7" w:rsidP="00DB4BC7">
      <w:pPr>
        <w:pStyle w:val="a3"/>
        <w:numPr>
          <w:ilvl w:val="0"/>
          <w:numId w:val="12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وصول الکتاب إلی المناصب الوزارية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DB4BC7" w:rsidRPr="00016127" w:rsidRDefault="00DB4BC7" w:rsidP="00DB4BC7">
      <w:pPr>
        <w:pStyle w:val="a3"/>
        <w:numPr>
          <w:ilvl w:val="0"/>
          <w:numId w:val="12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 w:hint="cs"/>
          <w:b/>
          <w:bCs/>
          <w:sz w:val="28"/>
          <w:szCs w:val="28"/>
          <w:rtl/>
        </w:rPr>
        <w:t>إ</w:t>
      </w: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نه أصبح وعاء لثقافات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جديدة،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کانت نتيجة لامتزاج الفکر العربي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بأف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کار الأمم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الأخری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DB4BC7" w:rsidRPr="00016127" w:rsidRDefault="00DB4BC7" w:rsidP="00DB4BC7">
      <w:pPr>
        <w:pStyle w:val="a3"/>
        <w:numPr>
          <w:ilvl w:val="0"/>
          <w:numId w:val="12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رقي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الأف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>کار وعمق المعاني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DB4BC7" w:rsidRPr="00016127" w:rsidRDefault="00DB4BC7" w:rsidP="00DB4BC7">
      <w:pPr>
        <w:pStyle w:val="a3"/>
        <w:numPr>
          <w:ilvl w:val="0"/>
          <w:numId w:val="12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التفنن في أساليبه وظهور مدارس متنوعة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  <w:proofErr w:type="spellEnd"/>
    </w:p>
    <w:p w:rsidR="00DB4BC7" w:rsidRPr="00016127" w:rsidRDefault="00DB4BC7" w:rsidP="00DB4BC7">
      <w:pPr>
        <w:jc w:val="center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16127">
        <w:rPr>
          <w:rFonts w:asciiTheme="minorBidi" w:hAnsiTheme="minorBidi"/>
          <w:b/>
          <w:bCs/>
          <w:sz w:val="32"/>
          <w:szCs w:val="32"/>
          <w:rtl/>
        </w:rPr>
        <w:t>أسباب نهضة النثر في العصر العباسي</w:t>
      </w:r>
      <w:r w:rsidRPr="00016127">
        <w:rPr>
          <w:rFonts w:asciiTheme="minorBidi" w:hAnsiTheme="minorBidi"/>
          <w:b/>
          <w:bCs/>
          <w:sz w:val="32"/>
          <w:szCs w:val="32"/>
          <w:lang w:bidi="ar-IQ"/>
        </w:rPr>
        <w:t>:</w:t>
      </w:r>
    </w:p>
    <w:p w:rsidR="00DB4BC7" w:rsidRPr="00016127" w:rsidRDefault="00DB4BC7" w:rsidP="00DB4BC7">
      <w:pPr>
        <w:numPr>
          <w:ilvl w:val="0"/>
          <w:numId w:val="11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استقرار الأمور في الدولة واتساع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العمران،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وما يتبع ذلك من رخاء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DB4BC7" w:rsidRPr="00016127" w:rsidRDefault="00DB4BC7" w:rsidP="00DB4BC7">
      <w:pPr>
        <w:numPr>
          <w:ilvl w:val="0"/>
          <w:numId w:val="11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lastRenderedPageBreak/>
        <w:t>النضج العقلي وظهور آثار التقدم الفکري في الدولة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DB4BC7" w:rsidRPr="00016127" w:rsidRDefault="00DB4BC7" w:rsidP="00DB4BC7">
      <w:pPr>
        <w:numPr>
          <w:ilvl w:val="0"/>
          <w:numId w:val="11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ظهور أجيال جديدة من المثقفين من أبناء الأمم المستعربة الذين جمعوا إلی الثقافة العربية الأصيلة فنونا جديدة من ثقافات آبائهم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الفرس،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الهنود و اليونان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DB4BC7" w:rsidRPr="00016127" w:rsidRDefault="00DB4BC7" w:rsidP="00DB4BC7">
      <w:pPr>
        <w:numPr>
          <w:ilvl w:val="0"/>
          <w:numId w:val="11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تشجيع الخلفاء والأمراء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لل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>کتاب وإغداق الأموال عليهم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DB4BC7" w:rsidRPr="00016127" w:rsidRDefault="00DB4BC7" w:rsidP="00DB4BC7">
      <w:pPr>
        <w:numPr>
          <w:ilvl w:val="0"/>
          <w:numId w:val="11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وصول الکتاب إلی المناصب الکبيرة جعل الک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تابة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مطمح کل راغب في الجاه والسلطان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DB4BC7" w:rsidRPr="00016127" w:rsidRDefault="00DB4BC7" w:rsidP="00DB4BC7">
      <w:pPr>
        <w:numPr>
          <w:ilvl w:val="0"/>
          <w:numId w:val="11"/>
        </w:num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التنافس بين الکتاب في سبيل الإجادة الفنية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152855" w:rsidRPr="00DB4BC7" w:rsidRDefault="00DB4BC7" w:rsidP="00DB4BC7">
      <w:pPr>
        <w:bidi/>
        <w:jc w:val="both"/>
        <w:rPr>
          <w:b/>
          <w:bCs/>
          <w:sz w:val="28"/>
          <w:szCs w:val="28"/>
          <w:rtl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کثرة المذاهب الکلامية وحاجة کل مذهب إلی التأييد وشرح مبادئه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 </w:t>
      </w:r>
    </w:p>
    <w:sectPr w:rsidR="00152855" w:rsidRPr="00DB4BC7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D84FA8"/>
    <w:multiLevelType w:val="hybridMultilevel"/>
    <w:tmpl w:val="F424BD60"/>
    <w:lvl w:ilvl="0" w:tplc="51942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7E6B"/>
    <w:multiLevelType w:val="hybridMultilevel"/>
    <w:tmpl w:val="6EA2D90A"/>
    <w:lvl w:ilvl="0" w:tplc="F6CEE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27628"/>
    <w:multiLevelType w:val="hybridMultilevel"/>
    <w:tmpl w:val="DEB450D4"/>
    <w:lvl w:ilvl="0" w:tplc="5D4E06E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4FBC2A8C"/>
    <w:multiLevelType w:val="hybridMultilevel"/>
    <w:tmpl w:val="1BA4CCE4"/>
    <w:lvl w:ilvl="0" w:tplc="058C1800">
      <w:start w:val="1"/>
      <w:numFmt w:val="arabicAlpha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E7C91"/>
    <w:multiLevelType w:val="hybridMultilevel"/>
    <w:tmpl w:val="D222EF24"/>
    <w:lvl w:ilvl="0" w:tplc="A030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8401F"/>
    <w:multiLevelType w:val="hybridMultilevel"/>
    <w:tmpl w:val="F3C21ED6"/>
    <w:lvl w:ilvl="0" w:tplc="2856E5A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F8055A2"/>
    <w:multiLevelType w:val="multilevel"/>
    <w:tmpl w:val="BA56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247F2C"/>
    <w:multiLevelType w:val="hybridMultilevel"/>
    <w:tmpl w:val="5D621148"/>
    <w:lvl w:ilvl="0" w:tplc="7E6EE9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12633"/>
    <w:rsid w:val="00093CAF"/>
    <w:rsid w:val="00152855"/>
    <w:rsid w:val="001976E4"/>
    <w:rsid w:val="002A5AA7"/>
    <w:rsid w:val="002E6535"/>
    <w:rsid w:val="0034675E"/>
    <w:rsid w:val="00371479"/>
    <w:rsid w:val="00483A2D"/>
    <w:rsid w:val="004C732D"/>
    <w:rsid w:val="004D2169"/>
    <w:rsid w:val="004F6D1C"/>
    <w:rsid w:val="00550946"/>
    <w:rsid w:val="00717737"/>
    <w:rsid w:val="00736C95"/>
    <w:rsid w:val="00825FA7"/>
    <w:rsid w:val="00896B01"/>
    <w:rsid w:val="009F0969"/>
    <w:rsid w:val="00A07422"/>
    <w:rsid w:val="00A245B5"/>
    <w:rsid w:val="00A70B20"/>
    <w:rsid w:val="00A83F0F"/>
    <w:rsid w:val="00AB35F7"/>
    <w:rsid w:val="00B93CC9"/>
    <w:rsid w:val="00BE49C2"/>
    <w:rsid w:val="00C9401D"/>
    <w:rsid w:val="00D35D04"/>
    <w:rsid w:val="00D43F52"/>
    <w:rsid w:val="00D46CDB"/>
    <w:rsid w:val="00DB4BC7"/>
    <w:rsid w:val="00E6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24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2087</Characters>
  <Application>Microsoft Office Word</Application>
  <DocSecurity>0</DocSecurity>
  <Lines>17</Lines>
  <Paragraphs>4</Paragraphs>
  <ScaleCrop>false</ScaleCrop>
  <Company>SACC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17</cp:revision>
  <dcterms:created xsi:type="dcterms:W3CDTF">2019-12-17T22:38:00Z</dcterms:created>
  <dcterms:modified xsi:type="dcterms:W3CDTF">2019-12-17T23:29:00Z</dcterms:modified>
</cp:coreProperties>
</file>