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4"/>
      </w:tblGrid>
      <w:tr w:rsidR="00D46CDB" w:rsidRPr="000F6685" w:rsidTr="00FC2EB8">
        <w:trPr>
          <w:jc w:val="center"/>
        </w:trPr>
        <w:tc>
          <w:tcPr>
            <w:tcW w:w="5000" w:type="pct"/>
            <w:vAlign w:val="center"/>
            <w:hideMark/>
          </w:tcPr>
          <w:p w:rsidR="00D46CDB" w:rsidRPr="000F6685" w:rsidRDefault="00D46CDB" w:rsidP="00FC2EB8">
            <w:pPr>
              <w:bidi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قصيدة فتح </w:t>
            </w:r>
            <w:proofErr w:type="spellStart"/>
            <w:r w:rsidRPr="000F6685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>عمورية</w:t>
            </w:r>
            <w:proofErr w:type="spellEnd"/>
          </w:p>
          <w:p w:rsidR="00D46CDB" w:rsidRPr="000F6685" w:rsidRDefault="00D46CDB" w:rsidP="00FC2EB8">
            <w:pPr>
              <w:bidi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0F6685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0F6685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 أبو تمام </w:t>
            </w:r>
            <w:proofErr w:type="spellStart"/>
            <w:r w:rsidRPr="000F6685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</w:tr>
    </w:tbl>
    <w:p w:rsidR="00D46CDB" w:rsidRPr="000F6685" w:rsidRDefault="00D46CDB" w:rsidP="00D46CDB">
      <w:pPr>
        <w:bidi/>
        <w:spacing w:after="0" w:line="240" w:lineRule="auto"/>
        <w:ind w:left="135" w:right="135"/>
        <w:jc w:val="both"/>
        <w:rPr>
          <w:rFonts w:ascii="Arial" w:eastAsia="Times New Roman" w:hAnsi="Arial" w:cs="Arial"/>
          <w:sz w:val="32"/>
          <w:szCs w:val="32"/>
          <w:rtl/>
          <w:lang w:bidi="ar-IQ"/>
        </w:rPr>
      </w:pPr>
      <w:r w:rsidRPr="000F6685">
        <w:rPr>
          <w:rFonts w:ascii="Arial" w:eastAsia="Times New Roman" w:hAnsi="Arial" w:cs="Arial"/>
          <w:sz w:val="32"/>
          <w:szCs w:val="32"/>
          <w:rtl/>
        </w:rPr>
        <w:t> </w:t>
      </w:r>
    </w:p>
    <w:p w:rsidR="00D46CDB" w:rsidRPr="005B4FBD" w:rsidRDefault="00D46CDB" w:rsidP="00D46CDB">
      <w:pPr>
        <w:bidi/>
        <w:spacing w:after="0" w:line="240" w:lineRule="auto"/>
        <w:ind w:left="135" w:right="13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أبوتمام: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 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(180-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 228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هـ 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\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796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-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843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 م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)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 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br/>
      </w:r>
    </w:p>
    <w:p w:rsidR="00D46CDB" w:rsidRPr="005B4FBD" w:rsidRDefault="00D46CDB" w:rsidP="00D46CDB">
      <w:pPr>
        <w:bidi/>
        <w:spacing w:after="0" w:line="360" w:lineRule="atLeast"/>
        <w:ind w:left="75" w:right="7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تاريخه 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br/>
        <w:t xml:space="preserve">ولد حبيب بن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أوس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الطائي المعروف بأبي تمام في جاسم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قرب دمشق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 سنة 180 هـ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/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796 م.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ونشأ  في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دمشق،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درس الثقافة العربية وشدا الشعر مُتًكَسِبَاً. تنقل بين الشام ومصر والجزيرة وأرمينيا وأذربيجان والعراق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وخراسان،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يمدح الخلفاء والأمراء والقادة الكبار. اتصل بالمعتصم وأصبح شاعره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ورفيقه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،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 له ديوان معظمه في المدح ووصف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البطولات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اتخذ لنفسه مذهباً خاصاً يعتمد على الابتكار في المعاني والصور.</w:t>
      </w:r>
    </w:p>
    <w:p w:rsidR="00D46CDB" w:rsidRPr="005B4FBD" w:rsidRDefault="00D46CDB" w:rsidP="00D46CDB">
      <w:pPr>
        <w:tabs>
          <w:tab w:val="left" w:pos="1133"/>
        </w:tabs>
        <w:bidi/>
        <w:spacing w:after="0" w:line="360" w:lineRule="atLeast"/>
        <w:ind w:left="75" w:right="7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D46CDB" w:rsidRPr="005B4FBD" w:rsidRDefault="00D46CDB" w:rsidP="00D46CDB">
      <w:pPr>
        <w:bidi/>
        <w:spacing w:after="0" w:line="360" w:lineRule="atLeast"/>
        <w:ind w:left="75" w:right="7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شخصيته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br/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رجل الانفعالات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الشديدة،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والعنوان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الطموح،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والخيال الغني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الجبار،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والتفكير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العميق،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وا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ل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>ا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نفرادي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ة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الفكرية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ورجل التقليد الكلاسيكي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العاقل،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ورجل التدين غير الملتزم 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  <w:proofErr w:type="spellEnd"/>
    </w:p>
    <w:p w:rsidR="00D46CDB" w:rsidRPr="005B4FBD" w:rsidRDefault="00D46CDB" w:rsidP="00D46CDB">
      <w:pPr>
        <w:bidi/>
        <w:spacing w:after="0" w:line="360" w:lineRule="atLeast"/>
        <w:ind w:left="75" w:right="7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D46CDB" w:rsidRPr="005B4FBD" w:rsidRDefault="00D46CDB" w:rsidP="00D46CDB">
      <w:pPr>
        <w:bidi/>
        <w:spacing w:after="0" w:line="360" w:lineRule="atLeast"/>
        <w:ind w:left="75" w:right="7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>أدبه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 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br/>
        <w:t xml:space="preserve">أخرج عدة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كتب،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جمعت فيها مختاراته من الشعر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مثل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"الاختيارات من شعر الشعراء" 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و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"الاختيار من أشعار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القبائل"،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و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"أشعار الفحول" 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و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"أشعار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المحدثين"،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وطبع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منها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"الحماسة" 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و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"الحماسة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الصغرى".</w:t>
      </w:r>
      <w:proofErr w:type="spellEnd"/>
    </w:p>
    <w:p w:rsidR="00D46CDB" w:rsidRPr="005B4FBD" w:rsidRDefault="00D46CDB" w:rsidP="00D46CDB">
      <w:pPr>
        <w:bidi/>
        <w:spacing w:after="0" w:line="360" w:lineRule="atLeast"/>
        <w:ind w:left="75" w:right="7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D46CDB" w:rsidRPr="005B4FBD" w:rsidRDefault="00D46CDB" w:rsidP="00D46CDB">
      <w:pPr>
        <w:bidi/>
        <w:spacing w:after="0" w:line="360" w:lineRule="atLeast"/>
        <w:ind w:left="75" w:right="75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شاعر المدح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: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br/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مدحه تقليدي المعاني والأسلوب يحفل بالصخب الهدار والزخارف البيانية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والإبداعية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،</w:t>
      </w:r>
      <w:proofErr w:type="spellEnd"/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لا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سيما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الجناس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والطباق،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كما يحفل بال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غ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راب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ة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والتعقيد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والغموض،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ولهجة أبي تمام فيه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ا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ملكية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أرسط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و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قرا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ط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ية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ونزعته في وصف القتال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ملحمية،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فإنه قد استطاع أن يكون شاعر المعنى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العميق،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والصورة المدهشة والسمو الصاعق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  <w:proofErr w:type="spellEnd"/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وفي الرثاء 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عاطفي صادق في ذويه وأصدقا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ئ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ه ورثاء مجاملة في غيرهم من الناس.</w:t>
      </w:r>
    </w:p>
    <w:p w:rsidR="00D46CDB" w:rsidRPr="005B4FBD" w:rsidRDefault="00D46CDB" w:rsidP="00D46CDB">
      <w:pPr>
        <w:bidi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D46CDB" w:rsidRPr="005B4FBD" w:rsidRDefault="00D46CDB" w:rsidP="00D46CDB">
      <w:pPr>
        <w:pStyle w:val="a3"/>
        <w:bidi/>
        <w:ind w:left="1080"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D46CDB" w:rsidRPr="000F6685" w:rsidRDefault="00D46CDB" w:rsidP="00D46CDB">
      <w:pPr>
        <w:tabs>
          <w:tab w:val="right" w:pos="4320"/>
          <w:tab w:val="right" w:pos="5040"/>
        </w:tabs>
        <w:bidi/>
        <w:spacing w:after="0" w:line="240" w:lineRule="auto"/>
        <w:ind w:left="135" w:right="135"/>
        <w:jc w:val="center"/>
        <w:rPr>
          <w:rFonts w:ascii="Arial" w:eastAsia="Times New Roman" w:hAnsi="Arial" w:cs="Arial"/>
          <w:sz w:val="27"/>
          <w:szCs w:val="27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نص قصيدة فتح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عمورية</w:t>
      </w:r>
      <w:proofErr w:type="spellEnd"/>
    </w:p>
    <w:p w:rsidR="00D46CDB" w:rsidRPr="000F6685" w:rsidRDefault="00D46CDB" w:rsidP="00D46CDB">
      <w:pPr>
        <w:bidi/>
        <w:spacing w:after="0" w:line="240" w:lineRule="auto"/>
        <w:ind w:left="135" w:right="135"/>
        <w:jc w:val="both"/>
        <w:rPr>
          <w:rFonts w:ascii="Arial" w:eastAsia="Times New Roman" w:hAnsi="Arial" w:cs="Arial"/>
          <w:sz w:val="27"/>
          <w:szCs w:val="27"/>
          <w:rtl/>
          <w:lang w:bidi="ar-IQ"/>
        </w:rPr>
      </w:pPr>
    </w:p>
    <w:tbl>
      <w:tblPr>
        <w:tblW w:w="2743" w:type="pct"/>
        <w:tblCellSpacing w:w="15" w:type="dxa"/>
        <w:tblInd w:w="10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4"/>
        <w:gridCol w:w="2062"/>
        <w:gridCol w:w="480"/>
      </w:tblGrid>
      <w:tr w:rsidR="00D46CDB" w:rsidRPr="000F6685" w:rsidTr="00FC2EB8">
        <w:trPr>
          <w:tblCellSpacing w:w="15" w:type="dxa"/>
        </w:trPr>
        <w:tc>
          <w:tcPr>
            <w:tcW w:w="2198" w:type="pct"/>
            <w:vAlign w:val="center"/>
          </w:tcPr>
          <w:p w:rsidR="00D46CDB" w:rsidRPr="000F6685" w:rsidRDefault="00D46CDB" w:rsidP="00FC2E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في حدهِ الحدُّ بينَ الجدِّ واللَّعبِ</w:t>
            </w:r>
          </w:p>
        </w:tc>
        <w:tc>
          <w:tcPr>
            <w:tcW w:w="2213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السَّيْفُ أَصْدَقُ إِنْبَاءً مِنَ الكُتُبِ     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 </w:t>
            </w:r>
            <w:r w:rsidRPr="000F668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IQ"/>
              </w:rPr>
              <w:t xml:space="preserve">   </w:t>
            </w: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46CDB" w:rsidRPr="000F6685" w:rsidTr="00FC2EB8">
        <w:trPr>
          <w:tblCellSpacing w:w="15" w:type="dxa"/>
        </w:trPr>
        <w:tc>
          <w:tcPr>
            <w:tcW w:w="2198" w:type="pct"/>
            <w:vAlign w:val="center"/>
          </w:tcPr>
          <w:p w:rsidR="00D46CDB" w:rsidRPr="000F6685" w:rsidRDefault="00D46CDB" w:rsidP="00FC2E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في مُتُونِهنَّ جلاءُ الشَّك والريَبِ</w:t>
            </w:r>
          </w:p>
        </w:tc>
        <w:tc>
          <w:tcPr>
            <w:tcW w:w="2213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بيضُ الصَّفائحِ لاَ سودُ الصَّحا</w:t>
            </w:r>
            <w:r w:rsidRPr="000F668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ئ</w:t>
            </w: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فِ 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46CDB" w:rsidRPr="000F6685" w:rsidTr="00FC2EB8">
        <w:trPr>
          <w:tblCellSpacing w:w="15" w:type="dxa"/>
        </w:trPr>
        <w:tc>
          <w:tcPr>
            <w:tcW w:w="2198" w:type="pct"/>
            <w:vAlign w:val="center"/>
          </w:tcPr>
          <w:p w:rsidR="00D46CDB" w:rsidRPr="000F6685" w:rsidRDefault="00D46CDB" w:rsidP="00FC2E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بَيْنَ الخَمِيسَيْنِ </w:t>
            </w:r>
            <w:proofErr w:type="spellStart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لافي</w:t>
            </w:r>
            <w:proofErr w:type="spellEnd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السَّبْعَة ِ الشُّهُبِ</w:t>
            </w:r>
          </w:p>
        </w:tc>
        <w:tc>
          <w:tcPr>
            <w:tcW w:w="2213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والعِلْمُ في شُهُبِ </w:t>
            </w:r>
            <w:proofErr w:type="spellStart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الأَرْمَاحِ</w:t>
            </w:r>
            <w:proofErr w:type="spellEnd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لاَمِعَة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46CDB" w:rsidRPr="000F6685" w:rsidTr="00FC2EB8">
        <w:trPr>
          <w:tblCellSpacing w:w="15" w:type="dxa"/>
        </w:trPr>
        <w:tc>
          <w:tcPr>
            <w:tcW w:w="2198" w:type="pct"/>
            <w:vAlign w:val="center"/>
          </w:tcPr>
          <w:p w:rsidR="00D46CDB" w:rsidRPr="000F6685" w:rsidRDefault="00D46CDB" w:rsidP="00FC2E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صَاغُوه مِنْ زُخْرُفٍ فيها ومنْ كَذِبِ</w:t>
            </w:r>
          </w:p>
        </w:tc>
        <w:tc>
          <w:tcPr>
            <w:tcW w:w="2213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أَيْنَ الروايَة ُ بَلْ أَيْنَ النُّجُومُ وَمَا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46CDB" w:rsidRPr="000F6685" w:rsidTr="00FC2EB8">
        <w:trPr>
          <w:tblCellSpacing w:w="15" w:type="dxa"/>
        </w:trPr>
        <w:tc>
          <w:tcPr>
            <w:tcW w:w="2198" w:type="pct"/>
            <w:vAlign w:val="center"/>
          </w:tcPr>
          <w:p w:rsidR="00D46CDB" w:rsidRPr="000F6685" w:rsidRDefault="00D46CDB" w:rsidP="00FC2E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لَيْسَتْ بِنَبْعٍ إِذَا عُدَّتْ </w:t>
            </w:r>
            <w:proofErr w:type="spellStart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ولاغَرَبِ</w:t>
            </w:r>
            <w:proofErr w:type="spellEnd"/>
          </w:p>
        </w:tc>
        <w:tc>
          <w:tcPr>
            <w:tcW w:w="2213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تخرُّصاً</w:t>
            </w:r>
            <w:proofErr w:type="spellEnd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وأحاديثاً</w:t>
            </w:r>
            <w:proofErr w:type="spellEnd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ملفَّقة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46CDB" w:rsidRPr="000F6685" w:rsidTr="00FC2EB8">
        <w:trPr>
          <w:tblCellSpacing w:w="15" w:type="dxa"/>
        </w:trPr>
        <w:tc>
          <w:tcPr>
            <w:tcW w:w="2198" w:type="pct"/>
            <w:vAlign w:val="center"/>
          </w:tcPr>
          <w:p w:rsidR="00D46CDB" w:rsidRPr="000F6685" w:rsidRDefault="00D46CDB" w:rsidP="00FC2E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عَنْهُنَّ في صَفَرِ </w:t>
            </w:r>
            <w:proofErr w:type="spellStart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الأَصْفَار</w:t>
            </w:r>
            <w:proofErr w:type="spellEnd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أَوْ </w:t>
            </w: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lastRenderedPageBreak/>
              <w:t>رَجَبِ</w:t>
            </w:r>
          </w:p>
        </w:tc>
        <w:tc>
          <w:tcPr>
            <w:tcW w:w="2213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lastRenderedPageBreak/>
              <w:t>عجائباً</w:t>
            </w:r>
            <w:proofErr w:type="spellEnd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زعموا الأيَّامَ مُجْفلة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46CDB" w:rsidRPr="000F6685" w:rsidTr="00FC2EB8">
        <w:trPr>
          <w:tblCellSpacing w:w="15" w:type="dxa"/>
        </w:trPr>
        <w:tc>
          <w:tcPr>
            <w:tcW w:w="2198" w:type="pct"/>
            <w:vAlign w:val="center"/>
          </w:tcPr>
          <w:p w:rsidR="00D46CDB" w:rsidRPr="000F6685" w:rsidRDefault="00D46CDB" w:rsidP="00FC2E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lastRenderedPageBreak/>
              <w:t>إذا بدا الكوكبُ الغربيُّ ذو الذَّنبِ</w:t>
            </w:r>
          </w:p>
        </w:tc>
        <w:tc>
          <w:tcPr>
            <w:tcW w:w="2213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وخَوَّفُوا الناسَ مِنْ </w:t>
            </w:r>
            <w:proofErr w:type="spellStart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دَهْيَاءَ</w:t>
            </w:r>
            <w:proofErr w:type="spellEnd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مُظْلِمَة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46CDB" w:rsidRPr="000F6685" w:rsidTr="00FC2EB8">
        <w:trPr>
          <w:tblCellSpacing w:w="15" w:type="dxa"/>
        </w:trPr>
        <w:tc>
          <w:tcPr>
            <w:tcW w:w="2198" w:type="pct"/>
            <w:vAlign w:val="center"/>
          </w:tcPr>
          <w:p w:rsidR="00D46CDB" w:rsidRPr="000F6685" w:rsidRDefault="00D46CDB" w:rsidP="00FC2E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مَا كَانَ مُنْقَلِباً أَوْ غيْرَ مُنْقَلِبِ</w:t>
            </w:r>
          </w:p>
        </w:tc>
        <w:tc>
          <w:tcPr>
            <w:tcW w:w="2213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وصيَّروا </w:t>
            </w:r>
            <w:proofErr w:type="spellStart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الأبرجَ</w:t>
            </w:r>
            <w:proofErr w:type="spellEnd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العُلْيا مُرتَّبة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46CDB" w:rsidRPr="000F6685" w:rsidTr="00FC2EB8">
        <w:trPr>
          <w:tblCellSpacing w:w="15" w:type="dxa"/>
        </w:trPr>
        <w:tc>
          <w:tcPr>
            <w:tcW w:w="2198" w:type="pct"/>
            <w:vAlign w:val="center"/>
          </w:tcPr>
          <w:p w:rsidR="00D46CDB" w:rsidRPr="000F6685" w:rsidRDefault="00D46CDB" w:rsidP="00FC2E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ما دار في فلك منها وفي قُطُبِ</w:t>
            </w:r>
          </w:p>
        </w:tc>
        <w:tc>
          <w:tcPr>
            <w:tcW w:w="2213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يقضون بالأمر عنها وهي غافلة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46CDB" w:rsidRPr="000F6685" w:rsidTr="00FC2EB8">
        <w:trPr>
          <w:tblCellSpacing w:w="15" w:type="dxa"/>
        </w:trPr>
        <w:tc>
          <w:tcPr>
            <w:tcW w:w="2198" w:type="pct"/>
            <w:vAlign w:val="center"/>
          </w:tcPr>
          <w:p w:rsidR="00D46CDB" w:rsidRPr="000F6685" w:rsidRDefault="00D46CDB" w:rsidP="00FC2E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لم تُخْفِ </w:t>
            </w:r>
            <w:proofErr w:type="spellStart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ماحلَّ</w:t>
            </w:r>
            <w:proofErr w:type="spellEnd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بالأوثان والصلُبِ</w:t>
            </w:r>
          </w:p>
        </w:tc>
        <w:tc>
          <w:tcPr>
            <w:tcW w:w="2213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لو بيَّنت قطّ أمراً قبل موقعه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46CDB" w:rsidRPr="000F6685" w:rsidTr="00FC2EB8">
        <w:trPr>
          <w:tblCellSpacing w:w="15" w:type="dxa"/>
        </w:trPr>
        <w:tc>
          <w:tcPr>
            <w:tcW w:w="2198" w:type="pct"/>
            <w:vAlign w:val="center"/>
          </w:tcPr>
          <w:p w:rsidR="00D46CDB" w:rsidRPr="000F6685" w:rsidRDefault="00D46CDB" w:rsidP="00FC2E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نَظْمٌ مِن الشعْرِ أَوْ نَثْرٌ مِنَ الخُطَبِ</w:t>
            </w:r>
          </w:p>
        </w:tc>
        <w:tc>
          <w:tcPr>
            <w:tcW w:w="2213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فَتْحُ الفُتوحِ تَعَالَى أَنْ يُحيطَ </w:t>
            </w:r>
            <w:proofErr w:type="spellStart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بِهِ</w:t>
            </w:r>
            <w:proofErr w:type="spellEnd"/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46CDB" w:rsidRPr="000F6685" w:rsidTr="00FC2EB8">
        <w:trPr>
          <w:tblCellSpacing w:w="15" w:type="dxa"/>
        </w:trPr>
        <w:tc>
          <w:tcPr>
            <w:tcW w:w="2198" w:type="pct"/>
            <w:vAlign w:val="center"/>
          </w:tcPr>
          <w:p w:rsidR="00D46CDB" w:rsidRPr="000F6685" w:rsidRDefault="00D46CDB" w:rsidP="00FC2E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وتبرزُ الأرضُ في أثوابها </w:t>
            </w:r>
            <w:proofErr w:type="spellStart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القُشُبِ</w:t>
            </w:r>
            <w:proofErr w:type="spellEnd"/>
          </w:p>
        </w:tc>
        <w:tc>
          <w:tcPr>
            <w:tcW w:w="2213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فتحٌ تفتَّحُ أبوابُ السَّماءِ لهُ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46CDB" w:rsidRPr="000F6685" w:rsidTr="00FC2EB8">
        <w:trPr>
          <w:tblCellSpacing w:w="15" w:type="dxa"/>
        </w:trPr>
        <w:tc>
          <w:tcPr>
            <w:tcW w:w="2198" w:type="pct"/>
            <w:vAlign w:val="center"/>
          </w:tcPr>
          <w:p w:rsidR="00D46CDB" w:rsidRPr="000F6685" w:rsidRDefault="00D46CDB" w:rsidP="00FC2E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منكَ المُنى حُفَّلاً معسولة َ الحلبِ</w:t>
            </w:r>
          </w:p>
        </w:tc>
        <w:tc>
          <w:tcPr>
            <w:tcW w:w="2213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يَا يَوْمَ وَقْعَة </w:t>
            </w:r>
            <w:proofErr w:type="spellStart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عَمُّوريَّة</w:t>
            </w:r>
            <w:proofErr w:type="spellEnd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انْصَرَفَتْ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46CDB" w:rsidRPr="000F6685" w:rsidTr="00FC2EB8">
        <w:trPr>
          <w:tblCellSpacing w:w="15" w:type="dxa"/>
        </w:trPr>
        <w:tc>
          <w:tcPr>
            <w:tcW w:w="2198" w:type="pct"/>
            <w:vAlign w:val="center"/>
          </w:tcPr>
          <w:p w:rsidR="00D46CDB" w:rsidRPr="000F6685" w:rsidRDefault="00D46CDB" w:rsidP="00FC2E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والمُشْرِكينَ ودَارَ الشرْكِ في </w:t>
            </w:r>
            <w:proofErr w:type="spellStart"/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صَبَبِ</w:t>
            </w:r>
            <w:proofErr w:type="spellEnd"/>
          </w:p>
        </w:tc>
        <w:tc>
          <w:tcPr>
            <w:tcW w:w="2213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6685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أبقيْتَ جدَّ بني الإسلامِ في صعدٍ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D46CDB" w:rsidRPr="000F6685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D46CDB" w:rsidRPr="000F6685" w:rsidRDefault="00D46CDB" w:rsidP="00D46CDB">
      <w:pPr>
        <w:bidi/>
        <w:jc w:val="both"/>
        <w:rPr>
          <w:rFonts w:ascii="Arial" w:hAnsi="Arial" w:cs="Arial"/>
          <w:sz w:val="20"/>
          <w:szCs w:val="20"/>
          <w:rtl/>
          <w:lang w:bidi="ar-IQ"/>
        </w:rPr>
      </w:pPr>
    </w:p>
    <w:p w:rsidR="00D46CDB" w:rsidRPr="005B4FBD" w:rsidRDefault="00D46CDB" w:rsidP="00D46CDB">
      <w:pPr>
        <w:bidi/>
        <w:spacing w:after="0" w:line="240" w:lineRule="auto"/>
        <w:ind w:left="135" w:right="135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شرح بعض أبيات القصيدة</w:t>
      </w:r>
    </w:p>
    <w:p w:rsidR="00D46CDB" w:rsidRPr="005B4FBD" w:rsidRDefault="00D46CDB" w:rsidP="00D46CDB">
      <w:pPr>
        <w:bidi/>
        <w:spacing w:after="0" w:line="240" w:lineRule="auto"/>
        <w:ind w:left="135" w:right="13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</w:p>
    <w:p w:rsidR="00D46CDB" w:rsidRPr="005B4FBD" w:rsidRDefault="00D46CDB" w:rsidP="00D46CDB">
      <w:pPr>
        <w:bidi/>
        <w:spacing w:after="0" w:line="360" w:lineRule="atLeast"/>
        <w:ind w:left="75" w:right="7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  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إن أبا تمام لا يفاجئ قارئه بكل ما حشد في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أبيات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 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عمورية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من أفكار ومعان وصور وزينات ولعب بالألفاظ والأسطر فحسب ولكنه يطلع عليه باستهلال غير مألوف إنه لم يقف بالأطلال ولم يَشْكُ الجوى وإنما استهل قصيدته بالسيف وصدق 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تنب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>ؤ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اته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 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بالنصر،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وكان المنجمون قد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تنب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ؤو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ا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بأن المعتصم لن يربح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المعركة،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فكان تحد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ى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الخليفة أقوال المنجمين وافتتح البلدة التي بدت مستعصية وأنزل بالروم من الخسائر والقتلى والهزائم والحرائق ما لم يشهدوا له مثيلاً من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>قبل،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فكان ذلك دافعاً لأبي تمام أن يستهل قصيدته في مدح المعتصم ووصف المعركة بهذا الاستهلال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: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7"/>
        <w:gridCol w:w="3350"/>
      </w:tblGrid>
      <w:tr w:rsidR="00D46CDB" w:rsidRPr="005B4FBD" w:rsidTr="00FC2E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6CDB" w:rsidRPr="005B4FBD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في حده الحد بين الجد واللعب</w:t>
            </w:r>
          </w:p>
        </w:tc>
        <w:tc>
          <w:tcPr>
            <w:tcW w:w="0" w:type="auto"/>
            <w:vAlign w:val="center"/>
            <w:hideMark/>
          </w:tcPr>
          <w:p w:rsidR="00D46CDB" w:rsidRPr="005B4FBD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  <w:t>السيف أصدق أنباءً من الكتب</w:t>
            </w:r>
          </w:p>
        </w:tc>
      </w:tr>
    </w:tbl>
    <w:p w:rsidR="00D46CDB" w:rsidRPr="005B4FBD" w:rsidRDefault="00D46CDB" w:rsidP="00D46CDB">
      <w:pPr>
        <w:bidi/>
        <w:spacing w:after="0" w:line="360" w:lineRule="atLeast"/>
        <w:ind w:left="75" w:right="7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أي </w:t>
      </w:r>
      <w:r w:rsidRPr="005B4FBD">
        <w:rPr>
          <w:rFonts w:ascii="Arial" w:eastAsia="Times New Roman" w:hAnsi="Arial" w:cs="Arial" w:hint="cs"/>
          <w:b/>
          <w:bCs/>
          <w:sz w:val="28"/>
          <w:szCs w:val="28"/>
          <w:rtl/>
        </w:rPr>
        <w:t>إ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ن النصر العظيم الذي ظفر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به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العرب في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عمورية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يشهد بأن السيف أصدق من كتب المنجمين فحده القاطع يفصل بين الحقيقة والخرافة.</w:t>
      </w:r>
    </w:p>
    <w:p w:rsidR="00D46CDB" w:rsidRPr="005B4FBD" w:rsidRDefault="00D46CDB" w:rsidP="00D46CDB">
      <w:pPr>
        <w:tabs>
          <w:tab w:val="left" w:pos="1133"/>
        </w:tabs>
        <w:bidi/>
        <w:spacing w:after="0" w:line="360" w:lineRule="atLeast"/>
        <w:ind w:left="75" w:right="7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ab/>
      </w:r>
    </w:p>
    <w:tbl>
      <w:tblPr>
        <w:tblW w:w="744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9"/>
        <w:gridCol w:w="3721"/>
      </w:tblGrid>
      <w:tr w:rsidR="00D46CDB" w:rsidRPr="005B4FBD" w:rsidTr="00FC2EB8">
        <w:trPr>
          <w:tblCellSpacing w:w="15" w:type="dxa"/>
          <w:jc w:val="center"/>
        </w:trPr>
        <w:tc>
          <w:tcPr>
            <w:tcW w:w="3705" w:type="dxa"/>
            <w:vAlign w:val="center"/>
            <w:hideMark/>
          </w:tcPr>
          <w:p w:rsidR="00D46CDB" w:rsidRPr="005B4FBD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</w:t>
            </w:r>
            <w:r w:rsidRPr="005B4FBD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تون</w:t>
            </w:r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هن جلاء الشك والريب</w:t>
            </w:r>
          </w:p>
        </w:tc>
        <w:tc>
          <w:tcPr>
            <w:tcW w:w="3705" w:type="dxa"/>
            <w:vAlign w:val="center"/>
            <w:hideMark/>
          </w:tcPr>
          <w:p w:rsidR="00D46CDB" w:rsidRPr="005B4FBD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بيض الصفائح لاسود الصحائف في </w:t>
            </w:r>
          </w:p>
        </w:tc>
      </w:tr>
    </w:tbl>
    <w:p w:rsidR="00D46CDB" w:rsidRPr="005B4FBD" w:rsidRDefault="00D46CDB" w:rsidP="00D46CDB">
      <w:pPr>
        <w:bidi/>
        <w:spacing w:after="0" w:line="360" w:lineRule="atLeast"/>
        <w:ind w:left="75" w:right="7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السيوف البيضاء اللامعة تزيل الشك والظنون وتقرر الحقيقة والنصر المبين أما المنجمين فكذب وخداع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  <w:proofErr w:type="spellEnd"/>
    </w:p>
    <w:p w:rsidR="00D46CDB" w:rsidRPr="005B4FBD" w:rsidRDefault="00D46CDB" w:rsidP="00D46CDB">
      <w:pPr>
        <w:bidi/>
        <w:spacing w:after="0" w:line="360" w:lineRule="atLeast"/>
        <w:ind w:left="75" w:right="7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3"/>
        <w:gridCol w:w="3324"/>
      </w:tblGrid>
      <w:tr w:rsidR="00D46CDB" w:rsidRPr="005B4FBD" w:rsidTr="00FC2EB8">
        <w:trPr>
          <w:tblCellSpacing w:w="15" w:type="dxa"/>
          <w:jc w:val="center"/>
        </w:trPr>
        <w:tc>
          <w:tcPr>
            <w:tcW w:w="4620" w:type="dxa"/>
            <w:vAlign w:val="center"/>
            <w:hideMark/>
          </w:tcPr>
          <w:p w:rsidR="00D46CDB" w:rsidRPr="005B4FBD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بين الخميسين لا في السبعة الشهب</w:t>
            </w:r>
          </w:p>
        </w:tc>
        <w:tc>
          <w:tcPr>
            <w:tcW w:w="4620" w:type="dxa"/>
            <w:vAlign w:val="center"/>
            <w:hideMark/>
          </w:tcPr>
          <w:p w:rsidR="00D46CDB" w:rsidRPr="005B4FBD" w:rsidRDefault="00D46CDB" w:rsidP="00FC2EB8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والعلم في شهب </w:t>
            </w:r>
            <w:proofErr w:type="spellStart"/>
            <w:r w:rsidRPr="005B4FBD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</w:t>
            </w:r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ل</w:t>
            </w:r>
            <w:r w:rsidRPr="005B4FBD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أ</w:t>
            </w:r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رماح</w:t>
            </w:r>
            <w:proofErr w:type="spellEnd"/>
            <w:r w:rsidRPr="005B4FB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 لامعةً </w:t>
            </w:r>
          </w:p>
        </w:tc>
      </w:tr>
    </w:tbl>
    <w:p w:rsidR="00D46CDB" w:rsidRPr="005B4FBD" w:rsidRDefault="00D46CDB" w:rsidP="00D46CDB">
      <w:pPr>
        <w:bidi/>
        <w:spacing w:after="0" w:line="360" w:lineRule="atLeast"/>
        <w:ind w:left="75" w:right="7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العلم بنتائج الحروب يلتمس ويطلب بالأسلحة التي يقاتل فيها المحاربون لا في الشهب السبعة التي أعتمد عليها </w:t>
      </w:r>
      <w:proofErr w:type="spellStart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المنجمون </w:t>
      </w:r>
      <w:proofErr w:type="spellEnd"/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.</w:t>
      </w:r>
    </w:p>
    <w:p w:rsidR="00D46CDB" w:rsidRPr="005B4FBD" w:rsidRDefault="00D46CDB" w:rsidP="00D46CDB">
      <w:pPr>
        <w:bidi/>
        <w:spacing w:after="0" w:line="360" w:lineRule="atLeast"/>
        <w:ind w:left="75" w:right="75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5B4FBD">
        <w:rPr>
          <w:rFonts w:ascii="Arial" w:eastAsia="Times New Roman" w:hAnsi="Arial" w:cs="Arial"/>
          <w:b/>
          <w:bCs/>
          <w:sz w:val="28"/>
          <w:szCs w:val="28"/>
          <w:rtl/>
        </w:rPr>
        <w:t> </w:t>
      </w:r>
    </w:p>
    <w:p w:rsidR="00D46CDB" w:rsidRPr="000F6685" w:rsidRDefault="00D46CDB" w:rsidP="00D46CDB">
      <w:pPr>
        <w:bidi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0F6685">
        <w:rPr>
          <w:rFonts w:ascii="Arial" w:eastAsia="Times New Roman" w:hAnsi="Arial" w:cs="Arial"/>
          <w:sz w:val="24"/>
          <w:szCs w:val="24"/>
          <w:rtl/>
        </w:rPr>
        <w:t> </w:t>
      </w:r>
    </w:p>
    <w:p w:rsidR="00D46CDB" w:rsidRPr="000F6685" w:rsidRDefault="00D46CDB" w:rsidP="00D46CDB">
      <w:pPr>
        <w:pStyle w:val="a3"/>
        <w:bidi/>
        <w:ind w:left="108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152855" w:rsidRPr="00B93CC9" w:rsidRDefault="00152855" w:rsidP="00B93CC9">
      <w:pPr>
        <w:bidi/>
        <w:jc w:val="both"/>
        <w:rPr>
          <w:szCs w:val="28"/>
          <w:rtl/>
        </w:rPr>
      </w:pPr>
    </w:p>
    <w:sectPr w:rsidR="00152855" w:rsidRPr="00B93CC9" w:rsidSect="00550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3DF"/>
    <w:multiLevelType w:val="hybridMultilevel"/>
    <w:tmpl w:val="FE1AE95E"/>
    <w:lvl w:ilvl="0" w:tplc="EB281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2C2B"/>
    <w:multiLevelType w:val="hybridMultilevel"/>
    <w:tmpl w:val="5EA075CE"/>
    <w:lvl w:ilvl="0" w:tplc="017653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F10691"/>
    <w:multiLevelType w:val="hybridMultilevel"/>
    <w:tmpl w:val="BC824E16"/>
    <w:lvl w:ilvl="0" w:tplc="18524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B46C83"/>
    <w:multiLevelType w:val="hybridMultilevel"/>
    <w:tmpl w:val="86306A74"/>
    <w:lvl w:ilvl="0" w:tplc="297AB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47F2C"/>
    <w:multiLevelType w:val="hybridMultilevel"/>
    <w:tmpl w:val="5D621148"/>
    <w:lvl w:ilvl="0" w:tplc="7E6EE97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6535"/>
    <w:rsid w:val="00093CAF"/>
    <w:rsid w:val="00152855"/>
    <w:rsid w:val="001976E4"/>
    <w:rsid w:val="002A5AA7"/>
    <w:rsid w:val="002E6535"/>
    <w:rsid w:val="0034675E"/>
    <w:rsid w:val="00371479"/>
    <w:rsid w:val="00483A2D"/>
    <w:rsid w:val="004C732D"/>
    <w:rsid w:val="004D2169"/>
    <w:rsid w:val="004F6D1C"/>
    <w:rsid w:val="00550946"/>
    <w:rsid w:val="00717737"/>
    <w:rsid w:val="00736C95"/>
    <w:rsid w:val="00896B01"/>
    <w:rsid w:val="009F0969"/>
    <w:rsid w:val="00A70B20"/>
    <w:rsid w:val="00A83F0F"/>
    <w:rsid w:val="00AB35F7"/>
    <w:rsid w:val="00B93CC9"/>
    <w:rsid w:val="00C9401D"/>
    <w:rsid w:val="00D43F52"/>
    <w:rsid w:val="00D4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2868</Characters>
  <Application>Microsoft Office Word</Application>
  <DocSecurity>0</DocSecurity>
  <Lines>23</Lines>
  <Paragraphs>6</Paragraphs>
  <ScaleCrop>false</ScaleCrop>
  <Company>SACC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12</cp:revision>
  <dcterms:created xsi:type="dcterms:W3CDTF">2019-12-17T22:38:00Z</dcterms:created>
  <dcterms:modified xsi:type="dcterms:W3CDTF">2019-12-17T23:14:00Z</dcterms:modified>
</cp:coreProperties>
</file>