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57" w:rsidRDefault="002A3D87">
      <w:pP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A3D87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Simpsons rule</w:t>
      </w:r>
    </w:p>
    <w:p w:rsidR="002A3D87" w:rsidRDefault="002A3D8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 </w:t>
      </w:r>
      <w:hyperlink r:id="rId6" w:tooltip="Numerical analysi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numerical analysis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Simpson's rule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is a method for </w:t>
      </w:r>
      <w:hyperlink r:id="rId7" w:tooltip="Numerical integration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numerical integration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the numerical approximation of </w:t>
      </w:r>
      <w:hyperlink r:id="rId8" w:tooltip="Definite integral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definite integrals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Specifically, it is the following approximation for </w:t>
      </w:r>
      <w:r>
        <w:rPr>
          <w:rStyle w:val="mwe-math-mathml-inline"/>
          <w:rFonts w:ascii="Arial" w:hAnsi="Arial" w:cs="Arial"/>
          <w:vanish/>
          <w:color w:val="222222"/>
          <w:sz w:val="25"/>
          <w:szCs w:val="25"/>
          <w:shd w:val="clear" w:color="auto" w:fill="FFFFFF"/>
        </w:rPr>
        <w:t>{\displaystyle n}</w:t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0" distR="0" wp14:anchorId="01984CB0" wp14:editId="4AC2BD33">
                <wp:extent cx="304800" cy="304800"/>
                <wp:effectExtent l="0" t="0" r="0" b="0"/>
                <wp:docPr id="2" name="Rectangle 2" descr="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D87" w:rsidRDefault="002A3D87" w:rsidP="002A3D87">
                            <w:pPr>
                              <w:jc w:val="center"/>
                            </w:pPr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X0diLwCAADM&#10;BQAADgAAAAAAAAAAAAAAAAAuAgAAZHJzL2Uyb0RvYy54bWxQSwECLQAUAAYACAAAACEATKDpLNgA&#10;AAADAQAADwAAAAAAAAAAAAAAAAAWBQAAZHJzL2Rvd25yZXYueG1sUEsFBgAAAAAEAAQA8wAAABsG&#10;AAAAAA==&#10;" filled="f" stroked="f">
                <o:lock v:ext="edit" aspectratio="t"/>
                <v:textbox>
                  <w:txbxContent>
                    <w:p w:rsidR="002A3D87" w:rsidRDefault="002A3D87" w:rsidP="002A3D87">
                      <w:pPr>
                        <w:jc w:val="center"/>
                      </w:pPr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equally spaced subdivisions (where </w:t>
      </w:r>
      <w:r>
        <w:rPr>
          <w:rStyle w:val="mwe-math-mathml-inline"/>
          <w:rFonts w:ascii="Arial" w:hAnsi="Arial" w:cs="Arial"/>
          <w:vanish/>
          <w:color w:val="222222"/>
          <w:sz w:val="25"/>
          <w:szCs w:val="25"/>
          <w:shd w:val="clear" w:color="auto" w:fill="FFFFFF"/>
        </w:rPr>
        <w:t>{\displaystyle n}</w:t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0" distR="0" wp14:anchorId="2BE12F63" wp14:editId="78E3B071">
                <wp:extent cx="304800" cy="304800"/>
                <wp:effectExtent l="0" t="0" r="0" b="0"/>
                <wp:docPr id="1" name="Rectangle 1" descr="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D87" w:rsidRDefault="002A3D87" w:rsidP="002A3D87">
                            <w:pPr>
                              <w:jc w:val="center"/>
                            </w:pPr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7" alt="Description: 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ss7su9AgAA&#10;0wUAAA4AAAAAAAAAAAAAAAAALgIAAGRycy9lMm9Eb2MueG1sUEsBAi0AFAAGAAgAAAAhAEyg6SzY&#10;AAAAAwEAAA8AAAAAAAAAAAAAAAAAFwUAAGRycy9kb3ducmV2LnhtbFBLBQYAAAAABAAEAPMAAAAc&#10;BgAAAAA=&#10;" filled="f" stroked="f">
                <o:lock v:ext="edit" aspectratio="t"/>
                <v:textbox>
                  <w:txbxContent>
                    <w:p w:rsidR="002A3D87" w:rsidRDefault="002A3D87" w:rsidP="002A3D87">
                      <w:pPr>
                        <w:jc w:val="center"/>
                      </w:pPr>
                      <w:proofErr w:type="gramStart"/>
                      <w:r>
                        <w:t>n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is even): (General Form)</w:t>
      </w:r>
    </w:p>
    <w:p w:rsidR="00661D9C" w:rsidRDefault="00661D9C">
      <w:pPr>
        <w:rPr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caps/>
          <w:noProof/>
          <w:sz w:val="28"/>
          <w:szCs w:val="28"/>
        </w:rPr>
        <w:drawing>
          <wp:inline distT="0" distB="0" distL="0" distR="0">
            <wp:extent cx="59436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1FE" w:rsidRDefault="004331FE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drawing>
          <wp:inline distT="0" distB="0" distL="0" distR="0">
            <wp:extent cx="4039164" cy="128605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1FE" w:rsidRDefault="00214D74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5943600" cy="5603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F5" w:rsidRDefault="00F129F5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F129F5" w:rsidRDefault="00F129F5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F129F5" w:rsidRDefault="00F129F5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F129F5" w:rsidRDefault="00F129F5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F129F5" w:rsidRDefault="00F129F5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4331FE" w:rsidRDefault="006136E5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0AC2ECE" wp14:editId="7298FBE5">
            <wp:extent cx="5381625" cy="11096625"/>
            <wp:effectExtent l="0" t="0" r="9525" b="9525"/>
            <wp:docPr id="6" name="Picture 6" descr="ÙØªÙØ¬Ø© Ø¨Ø­Ø« Ø§ÙØµÙØ± Ø¹Ù âªsimpson rule numerical integratio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ÙØªÙØ¬Ø© Ø¨Ø­Ø« Ø§ÙØµÙØ± Ø¹Ù âªsimpson rule numerical integrationâ¬â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109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4BD" w:rsidRDefault="00F129F5" w:rsidP="004B24B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2965E66" wp14:editId="5DB02946">
            <wp:extent cx="5943600" cy="4462358"/>
            <wp:effectExtent l="0" t="0" r="0" b="0"/>
            <wp:docPr id="7" name="Picture 7" descr="ÙØªÙØ¬Ø© Ø¨Ø­Ø« Ø§ÙØµÙØ± Ø¹Ù âªsimpson rule numerical integratio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ÙØªÙØ¬Ø© Ø¨Ø­Ø« Ø§ÙØµÙØ± Ø¹Ù âªsimpson rule numerical integrationâ¬â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1B" w:rsidRDefault="00B87C1B" w:rsidP="004B24B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drawing>
          <wp:inline distT="0" distB="0" distL="0" distR="0" wp14:anchorId="1ED762D2" wp14:editId="47F6D2CD">
            <wp:extent cx="5943600" cy="117792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F5" w:rsidRDefault="004B24BD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drawing>
          <wp:inline distT="0" distB="0" distL="0" distR="0">
            <wp:extent cx="5848350" cy="18764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F5" w:rsidRDefault="004B24BD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5943600" cy="164846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% Ask for user input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% Lower bound (a)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a = 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input(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'What is your lower bound (a)?')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% Upper bound (b)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b = 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input(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'What is your upper bound (b)?')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% Subintervals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N = 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input(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'How many subintervals (N)?')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% 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Defining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 function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f = @(x) (2*x)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/(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(x.^2)+1)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% Finding h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h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=(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b-a)/N; 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% 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Finding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 the values of x for each interval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x=</w:t>
      </w:r>
      <w:proofErr w:type="spellStart"/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linspace</w:t>
      </w:r>
      <w:proofErr w:type="spell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(</w:t>
      </w:r>
      <w:proofErr w:type="spellStart"/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a,b,N</w:t>
      </w:r>
      <w:proofErr w:type="spell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);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% 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Calculating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 the integral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for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 i = 1:N-1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lastRenderedPageBreak/>
        <w:t>I(i)= (h/3)*(f(x(i))+(4*f((x(i)+x(i+1))/2))+f(x(i+1)));</w:t>
      </w:r>
    </w:p>
    <w:p w:rsidR="00636D5E" w:rsidRPr="00636D5E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end</w:t>
      </w:r>
      <w:proofErr w:type="gramEnd"/>
    </w:p>
    <w:p w:rsidR="006136E5" w:rsidRDefault="00636D5E" w:rsidP="00636D5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 xml:space="preserve">answer1 = </w:t>
      </w:r>
      <w:proofErr w:type="gramStart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sum(</w:t>
      </w:r>
      <w:proofErr w:type="gramEnd"/>
      <w:r w:rsidRPr="00636D5E">
        <w:rPr>
          <w:rFonts w:ascii="Georgia" w:eastAsia="Times New Roman" w:hAnsi="Georgia" w:cs="Times New Roman"/>
          <w:color w:val="000000"/>
          <w:sz w:val="36"/>
          <w:szCs w:val="36"/>
        </w:rPr>
        <w:t>I)</w:t>
      </w:r>
      <w:bookmarkStart w:id="0" w:name="_GoBack"/>
      <w:bookmarkEnd w:id="0"/>
    </w:p>
    <w:p w:rsidR="006136E5" w:rsidRDefault="006136E5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4331FE" w:rsidRPr="004331FE" w:rsidRDefault="004331FE" w:rsidP="004331F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331FE">
        <w:rPr>
          <w:rFonts w:ascii="Georgia" w:eastAsia="Times New Roman" w:hAnsi="Georgia" w:cs="Times New Roman"/>
          <w:color w:val="000000"/>
          <w:sz w:val="36"/>
          <w:szCs w:val="36"/>
        </w:rPr>
        <w:t>References</w:t>
      </w:r>
    </w:p>
    <w:p w:rsidR="004331FE" w:rsidRPr="004331FE" w:rsidRDefault="004331FE" w:rsidP="004331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 xml:space="preserve">Atkinson, Kendall E. (1989). An Introduction to Numerical Analysis (2nd </w:t>
      </w:r>
      <w:proofErr w:type="gramStart"/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ed</w:t>
      </w:r>
      <w:proofErr w:type="gramEnd"/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.). John Wiley &amp; Sons. </w:t>
      </w:r>
      <w:hyperlink r:id="rId17" w:tooltip="International Standard Book Number" w:history="1">
        <w:r w:rsidRPr="004331FE">
          <w:rPr>
            <w:rFonts w:ascii="Arial" w:eastAsia="Times New Roman" w:hAnsi="Arial" w:cs="Arial"/>
            <w:i/>
            <w:iCs/>
            <w:color w:val="0B0080"/>
            <w:sz w:val="21"/>
            <w:szCs w:val="21"/>
          </w:rPr>
          <w:t>ISBN</w:t>
        </w:r>
      </w:hyperlink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 </w:t>
      </w:r>
      <w:hyperlink r:id="rId18" w:tooltip="Special:BookSources/0-471-50023-2" w:history="1">
        <w:r w:rsidRPr="004331FE">
          <w:rPr>
            <w:rFonts w:ascii="Arial" w:eastAsia="Times New Roman" w:hAnsi="Arial" w:cs="Arial"/>
            <w:i/>
            <w:iCs/>
            <w:color w:val="0B0080"/>
            <w:sz w:val="21"/>
            <w:szCs w:val="21"/>
          </w:rPr>
          <w:t>0-471-50023-2</w:t>
        </w:r>
      </w:hyperlink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.</w:t>
      </w:r>
    </w:p>
    <w:p w:rsidR="004331FE" w:rsidRPr="004331FE" w:rsidRDefault="004331FE" w:rsidP="004331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 xml:space="preserve">Burden, Richard L.; </w:t>
      </w:r>
      <w:proofErr w:type="spellStart"/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Faires</w:t>
      </w:r>
      <w:proofErr w:type="spellEnd"/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 xml:space="preserve">, J. Douglas (2000). Numerical Analysis (7th </w:t>
      </w:r>
      <w:proofErr w:type="gramStart"/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ed</w:t>
      </w:r>
      <w:proofErr w:type="gramEnd"/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.). Brooks/Cole. </w:t>
      </w:r>
      <w:hyperlink r:id="rId19" w:tooltip="International Standard Book Number" w:history="1">
        <w:r w:rsidRPr="004331FE">
          <w:rPr>
            <w:rFonts w:ascii="Arial" w:eastAsia="Times New Roman" w:hAnsi="Arial" w:cs="Arial"/>
            <w:i/>
            <w:iCs/>
            <w:color w:val="0B0080"/>
            <w:sz w:val="21"/>
            <w:szCs w:val="21"/>
          </w:rPr>
          <w:t>ISBN</w:t>
        </w:r>
      </w:hyperlink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 </w:t>
      </w:r>
      <w:hyperlink r:id="rId20" w:tooltip="Special:BookSources/0-534-38216-9" w:history="1">
        <w:r w:rsidRPr="004331FE">
          <w:rPr>
            <w:rFonts w:ascii="Arial" w:eastAsia="Times New Roman" w:hAnsi="Arial" w:cs="Arial"/>
            <w:i/>
            <w:iCs/>
            <w:color w:val="0B0080"/>
            <w:sz w:val="21"/>
            <w:szCs w:val="21"/>
          </w:rPr>
          <w:t>0-534-38216-9</w:t>
        </w:r>
      </w:hyperlink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.</w:t>
      </w:r>
    </w:p>
    <w:p w:rsidR="004331FE" w:rsidRPr="004331FE" w:rsidRDefault="004331FE" w:rsidP="004331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Pate, McCall (1918). </w:t>
      </w:r>
      <w:hyperlink r:id="rId21" w:history="1">
        <w:r w:rsidRPr="004331FE">
          <w:rPr>
            <w:rFonts w:ascii="Arial" w:eastAsia="Times New Roman" w:hAnsi="Arial" w:cs="Arial"/>
            <w:i/>
            <w:iCs/>
            <w:color w:val="663366"/>
            <w:sz w:val="21"/>
            <w:szCs w:val="21"/>
          </w:rPr>
          <w:t>The naval artificer's manual: (The naval artificer's handbook revised) text, questions and general information for deck</w:t>
        </w:r>
      </w:hyperlink>
      <w:r w:rsidRPr="004331FE">
        <w:rPr>
          <w:rFonts w:ascii="Arial" w:eastAsia="Times New Roman" w:hAnsi="Arial" w:cs="Arial"/>
          <w:i/>
          <w:iCs/>
          <w:color w:val="222222"/>
          <w:sz w:val="21"/>
          <w:szCs w:val="21"/>
        </w:rPr>
        <w:t>. United States. Bureau of Reconstruction and Repair. p. 198.</w:t>
      </w:r>
    </w:p>
    <w:p w:rsidR="00661D9C" w:rsidRPr="00661D9C" w:rsidRDefault="00661D9C" w:rsidP="00661D9C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61D9C" w:rsidRPr="0066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22E9"/>
    <w:multiLevelType w:val="multilevel"/>
    <w:tmpl w:val="0910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B7"/>
    <w:rsid w:val="00214D74"/>
    <w:rsid w:val="002A3D87"/>
    <w:rsid w:val="004331FE"/>
    <w:rsid w:val="004B0A35"/>
    <w:rsid w:val="004B24BD"/>
    <w:rsid w:val="006136E5"/>
    <w:rsid w:val="00636D5E"/>
    <w:rsid w:val="00661D9C"/>
    <w:rsid w:val="007C4357"/>
    <w:rsid w:val="00A17DB7"/>
    <w:rsid w:val="00B87C1B"/>
    <w:rsid w:val="00F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3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1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3D87"/>
    <w:rPr>
      <w:color w:val="0000FF"/>
      <w:u w:val="single"/>
    </w:rPr>
  </w:style>
  <w:style w:type="character" w:customStyle="1" w:styleId="mwe-math-mathml-inline">
    <w:name w:val="mwe-math-mathml-inline"/>
    <w:basedOn w:val="DefaultParagraphFont"/>
    <w:rsid w:val="002A3D87"/>
  </w:style>
  <w:style w:type="paragraph" w:styleId="BalloonText">
    <w:name w:val="Balloon Text"/>
    <w:basedOn w:val="Normal"/>
    <w:link w:val="BalloonTextChar"/>
    <w:uiPriority w:val="99"/>
    <w:semiHidden/>
    <w:unhideWhenUsed/>
    <w:rsid w:val="0066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331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4331FE"/>
  </w:style>
  <w:style w:type="character" w:customStyle="1" w:styleId="mw-editsection">
    <w:name w:val="mw-editsection"/>
    <w:basedOn w:val="DefaultParagraphFont"/>
    <w:rsid w:val="004331FE"/>
  </w:style>
  <w:style w:type="character" w:customStyle="1" w:styleId="mw-editsection-bracket">
    <w:name w:val="mw-editsection-bracket"/>
    <w:basedOn w:val="DefaultParagraphFont"/>
    <w:rsid w:val="004331FE"/>
  </w:style>
  <w:style w:type="character" w:styleId="HTMLCite">
    <w:name w:val="HTML Cite"/>
    <w:basedOn w:val="DefaultParagraphFont"/>
    <w:uiPriority w:val="99"/>
    <w:semiHidden/>
    <w:unhideWhenUsed/>
    <w:rsid w:val="004331F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1F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3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1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3D87"/>
    <w:rPr>
      <w:color w:val="0000FF"/>
      <w:u w:val="single"/>
    </w:rPr>
  </w:style>
  <w:style w:type="character" w:customStyle="1" w:styleId="mwe-math-mathml-inline">
    <w:name w:val="mwe-math-mathml-inline"/>
    <w:basedOn w:val="DefaultParagraphFont"/>
    <w:rsid w:val="002A3D87"/>
  </w:style>
  <w:style w:type="paragraph" w:styleId="BalloonText">
    <w:name w:val="Balloon Text"/>
    <w:basedOn w:val="Normal"/>
    <w:link w:val="BalloonTextChar"/>
    <w:uiPriority w:val="99"/>
    <w:semiHidden/>
    <w:unhideWhenUsed/>
    <w:rsid w:val="0066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331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4331FE"/>
  </w:style>
  <w:style w:type="character" w:customStyle="1" w:styleId="mw-editsection">
    <w:name w:val="mw-editsection"/>
    <w:basedOn w:val="DefaultParagraphFont"/>
    <w:rsid w:val="004331FE"/>
  </w:style>
  <w:style w:type="character" w:customStyle="1" w:styleId="mw-editsection-bracket">
    <w:name w:val="mw-editsection-bracket"/>
    <w:basedOn w:val="DefaultParagraphFont"/>
    <w:rsid w:val="004331FE"/>
  </w:style>
  <w:style w:type="character" w:styleId="HTMLCite">
    <w:name w:val="HTML Cite"/>
    <w:basedOn w:val="DefaultParagraphFont"/>
    <w:uiPriority w:val="99"/>
    <w:semiHidden/>
    <w:unhideWhenUsed/>
    <w:rsid w:val="004331F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1F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finite_integra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en.wikipedia.org/wiki/Special:BookSources/0-471-50023-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ooks.google.com/books?id=bQc9AAAAYAAJ&amp;pg=PA198" TargetMode="External"/><Relationship Id="rId7" Type="http://schemas.openxmlformats.org/officeDocument/2006/relationships/hyperlink" Target="https://en.wikipedia.org/wiki/Numerical_integration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en.wikipedia.org/wiki/International_Standard_Book_Number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en.wikipedia.org/wiki/Special:BookSources/0-534-38216-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Numerical_analysis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International_Standard_Book_Numb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boxnet</dc:creator>
  <cp:lastModifiedBy>boxnet</cp:lastModifiedBy>
  <cp:revision>10</cp:revision>
  <dcterms:created xsi:type="dcterms:W3CDTF">2019-03-15T18:49:00Z</dcterms:created>
  <dcterms:modified xsi:type="dcterms:W3CDTF">2019-03-15T19:33:00Z</dcterms:modified>
</cp:coreProperties>
</file>