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DF" w:rsidRDefault="00D314DF" w:rsidP="00D314DF">
      <w:pPr>
        <w:autoSpaceDE w:val="0"/>
        <w:autoSpaceDN w:val="0"/>
        <w:adjustRightInd w:val="0"/>
        <w:spacing w:after="0" w:line="240" w:lineRule="auto"/>
        <w:rPr>
          <w:rFonts w:ascii="Traditional Arabic" w:hAnsi="Traditional Arabic" w:cs="Traditional Arabic"/>
          <w:b/>
          <w:bCs/>
          <w:color w:val="000080"/>
          <w:sz w:val="32"/>
          <w:szCs w:val="32"/>
          <w:rtl/>
          <w:lang w:bidi="ar-IQ"/>
        </w:rPr>
      </w:pPr>
      <w:bookmarkStart w:id="0" w:name="_GoBack"/>
      <w:bookmarkEnd w:id="0"/>
      <w:r>
        <w:rPr>
          <w:rFonts w:ascii="Traditional Arabic" w:hAnsi="Traditional Arabic" w:cs="Traditional Arabic"/>
          <w:b/>
          <w:bCs/>
          <w:color w:val="000080"/>
          <w:sz w:val="32"/>
          <w:szCs w:val="32"/>
          <w:rtl/>
          <w:lang w:bidi="ar-IQ"/>
        </w:rPr>
        <w:t xml:space="preserve">الكتاب: </w:t>
      </w:r>
      <w:r>
        <w:rPr>
          <w:rFonts w:ascii="Traditional Arabic" w:hAnsi="Traditional Arabic" w:cs="Traditional Arabic"/>
          <w:b/>
          <w:bCs/>
          <w:color w:val="000000"/>
          <w:sz w:val="32"/>
          <w:szCs w:val="32"/>
          <w:rtl/>
          <w:lang w:bidi="ar-IQ"/>
        </w:rPr>
        <w:t>النحو الواضح في قواعد اللغة العربية</w:t>
      </w:r>
    </w:p>
    <w:p w:rsidR="00D314DF" w:rsidRDefault="00D314DF" w:rsidP="00D314DF">
      <w:pPr>
        <w:autoSpaceDE w:val="0"/>
        <w:autoSpaceDN w:val="0"/>
        <w:adjustRightInd w:val="0"/>
        <w:spacing w:after="0" w:line="240" w:lineRule="auto"/>
        <w:rPr>
          <w:rFonts w:ascii="Traditional Arabic" w:hAnsi="Traditional Arabic" w:cs="Traditional Arabic"/>
          <w:b/>
          <w:bCs/>
          <w:color w:val="000080"/>
          <w:sz w:val="32"/>
          <w:szCs w:val="32"/>
          <w:rtl/>
          <w:lang w:bidi="ar-IQ"/>
        </w:rPr>
      </w:pPr>
      <w:r>
        <w:rPr>
          <w:rFonts w:ascii="Traditional Arabic" w:hAnsi="Traditional Arabic" w:cs="Traditional Arabic"/>
          <w:b/>
          <w:bCs/>
          <w:color w:val="000080"/>
          <w:sz w:val="32"/>
          <w:szCs w:val="32"/>
          <w:rtl/>
          <w:lang w:bidi="ar-IQ"/>
        </w:rPr>
        <w:t>المؤلف:</w:t>
      </w:r>
      <w:r>
        <w:rPr>
          <w:rFonts w:ascii="Traditional Arabic" w:hAnsi="Traditional Arabic" w:cs="Traditional Arabic"/>
          <w:b/>
          <w:bCs/>
          <w:color w:val="000000"/>
          <w:sz w:val="32"/>
          <w:szCs w:val="32"/>
          <w:rtl/>
          <w:lang w:bidi="ar-IQ"/>
        </w:rPr>
        <w:t xml:space="preserve"> على الجارم ومصطفى أمين</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الأمثلة: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هذا كتابٌ مفيدٌ.</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قرأت كتابًا مفيدًا.</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نظرت في كتابٍ مفيدٍ.</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هذا ميدانٌ فسيحٌ.</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رأيت ميدانًا فسيحًا.</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جَرَيْتُ في ميدانٍ فسيحٍ.</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تفتحت الوردةُ الجميلةُ.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قطفت الوردةَ الجميلةَ.</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نظرت إلى الوردةِ الجميلةِ.</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البحث:</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كل كلمة من الكلمات الثلاث: مفيد، فسيح، الجميلة. تنعت الاسم الذي قبلها، أي تدل على صفة فيه، ولذلك تسمى نعتا، ويُسمى الاسم الذي قبلها منعوتا.</w:t>
      </w:r>
    </w:p>
    <w:p w:rsidR="00D314DF" w:rsidRDefault="00D314DF" w:rsidP="00D314DF">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 xml:space="preserve">وإذا تأملت كل نعت من هذه النعوت الثلاثة وجدته يتبع المنعوت في رفعه ونصبه وجره. فكلمة "مفيد" في الأمثلة الثلاثة الأولى جاءت مرفوعة </w:t>
      </w:r>
      <w:r>
        <w:rPr>
          <w:rFonts w:ascii="Traditional Arabic" w:hAnsi="Traditional Arabic" w:cs="Traditional Arabic"/>
          <w:b/>
          <w:bCs/>
          <w:color w:val="000000"/>
          <w:sz w:val="44"/>
          <w:szCs w:val="44"/>
          <w:rtl/>
          <w:lang w:bidi="ar-IQ"/>
        </w:rPr>
        <w:lastRenderedPageBreak/>
        <w:t>ثم منصوبة ثم مجرورة، تبعا للاسم المذكور قبلها، وكذلك الكلمتان: "فسيح، والجميلة" في الأمثلة الباقية. وهذا عام في كل كلمة تنعت ما قبلها.</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القواعد:</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23-</w:t>
      </w:r>
      <w:r>
        <w:rPr>
          <w:rFonts w:ascii="Traditional Arabic" w:hAnsi="Traditional Arabic" w:cs="Traditional Arabic"/>
          <w:b/>
          <w:bCs/>
          <w:color w:val="000000"/>
          <w:sz w:val="44"/>
          <w:szCs w:val="44"/>
          <w:rtl/>
          <w:lang w:bidi="ar-IQ"/>
        </w:rPr>
        <w:t xml:space="preserve"> النعت لفظ يدل على صفة في اسم قبلة، ويسمى الاسم الموصوف منعوتا.</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24-</w:t>
      </w:r>
      <w:r>
        <w:rPr>
          <w:rFonts w:ascii="Traditional Arabic" w:hAnsi="Traditional Arabic" w:cs="Traditional Arabic"/>
          <w:b/>
          <w:bCs/>
          <w:color w:val="000000"/>
          <w:sz w:val="44"/>
          <w:szCs w:val="44"/>
          <w:rtl/>
          <w:lang w:bidi="ar-IQ"/>
        </w:rPr>
        <w:t xml:space="preserve"> النعت يتبع المنعوت في رفعه ونصبه وجره.</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1:</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ضَعْ نَعْتاً مُناسِباً في كل مكان خال واشكل آخره:</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الْوَلدُ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يُحِبُّهُ أَبوهُ.</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جَرَيْتُ في مَيْدَانٍ </w:t>
      </w:r>
      <w:r>
        <w:rPr>
          <w:rFonts w:ascii="Traditional Arabic" w:hAnsi="Traditional Arabic" w:cs="Traditional Arabic"/>
          <w:b/>
          <w:bCs/>
          <w:color w:val="FF0000"/>
          <w:sz w:val="44"/>
          <w:szCs w:val="44"/>
          <w:rtl/>
          <w:lang w:bidi="ar-IQ"/>
        </w:rPr>
        <w:t>...</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أَكْثرْ مِنَ القِراءَةِ في الكتب </w:t>
      </w:r>
      <w:r>
        <w:rPr>
          <w:rFonts w:ascii="Traditional Arabic" w:hAnsi="Traditional Arabic" w:cs="Traditional Arabic"/>
          <w:b/>
          <w:bCs/>
          <w:color w:val="FF0000"/>
          <w:sz w:val="44"/>
          <w:szCs w:val="44"/>
          <w:rtl/>
          <w:lang w:bidi="ar-IQ"/>
        </w:rPr>
        <w:t>...</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يَضُرُّ الصَّديقُ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صاحبَهُ.</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عَدوٌّ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خير من صديق </w:t>
      </w:r>
      <w:r>
        <w:rPr>
          <w:rFonts w:ascii="Traditional Arabic" w:hAnsi="Traditional Arabic" w:cs="Traditional Arabic"/>
          <w:b/>
          <w:bCs/>
          <w:color w:val="FF0000"/>
          <w:sz w:val="44"/>
          <w:szCs w:val="44"/>
          <w:rtl/>
          <w:lang w:bidi="ar-IQ"/>
        </w:rPr>
        <w:t>...</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لا تَشْرَبِ الماءَ </w:t>
      </w:r>
      <w:r>
        <w:rPr>
          <w:rFonts w:ascii="Traditional Arabic" w:hAnsi="Traditional Arabic" w:cs="Traditional Arabic"/>
          <w:b/>
          <w:bCs/>
          <w:color w:val="FF0000"/>
          <w:sz w:val="44"/>
          <w:szCs w:val="44"/>
          <w:rtl/>
          <w:lang w:bidi="ar-IQ"/>
        </w:rPr>
        <w:t>...</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7-</w:t>
      </w:r>
      <w:r>
        <w:rPr>
          <w:rFonts w:ascii="Traditional Arabic" w:hAnsi="Traditional Arabic" w:cs="Traditional Arabic"/>
          <w:b/>
          <w:bCs/>
          <w:color w:val="000000"/>
          <w:sz w:val="44"/>
          <w:szCs w:val="44"/>
          <w:rtl/>
          <w:lang w:bidi="ar-IQ"/>
        </w:rPr>
        <w:t xml:space="preserve"> الحذاء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يضر القدم.</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زُرْتُ ضاحِيَة </w:t>
      </w:r>
      <w:r>
        <w:rPr>
          <w:rFonts w:ascii="Traditional Arabic" w:hAnsi="Traditional Arabic" w:cs="Traditional Arabic"/>
          <w:b/>
          <w:bCs/>
          <w:color w:val="FF0000"/>
          <w:sz w:val="44"/>
          <w:szCs w:val="44"/>
          <w:rtl/>
          <w:lang w:bidi="ar-IQ"/>
        </w:rPr>
        <w:t>...</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9-</w:t>
      </w:r>
      <w:r>
        <w:rPr>
          <w:rFonts w:ascii="Traditional Arabic" w:hAnsi="Traditional Arabic" w:cs="Traditional Arabic"/>
          <w:b/>
          <w:bCs/>
          <w:color w:val="000000"/>
          <w:sz w:val="44"/>
          <w:szCs w:val="44"/>
          <w:rtl/>
          <w:lang w:bidi="ar-IQ"/>
        </w:rPr>
        <w:t xml:space="preserve"> لِلْجَمَل عُنُق </w:t>
      </w:r>
      <w:r>
        <w:rPr>
          <w:rFonts w:ascii="Traditional Arabic" w:hAnsi="Traditional Arabic" w:cs="Traditional Arabic"/>
          <w:b/>
          <w:bCs/>
          <w:color w:val="FF0000"/>
          <w:sz w:val="44"/>
          <w:szCs w:val="44"/>
          <w:rtl/>
          <w:lang w:bidi="ar-IQ"/>
        </w:rPr>
        <w:t>...</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10-</w:t>
      </w:r>
      <w:r>
        <w:rPr>
          <w:rFonts w:ascii="Traditional Arabic" w:hAnsi="Traditional Arabic" w:cs="Traditional Arabic"/>
          <w:b/>
          <w:bCs/>
          <w:color w:val="000000"/>
          <w:sz w:val="44"/>
          <w:szCs w:val="44"/>
          <w:rtl/>
          <w:lang w:bidi="ar-IQ"/>
        </w:rPr>
        <w:t xml:space="preserve"> تنافسوا في العمل </w:t>
      </w:r>
      <w:r>
        <w:rPr>
          <w:rFonts w:ascii="Traditional Arabic" w:hAnsi="Traditional Arabic" w:cs="Traditional Arabic"/>
          <w:b/>
          <w:bCs/>
          <w:color w:val="FF0000"/>
          <w:sz w:val="44"/>
          <w:szCs w:val="44"/>
          <w:rtl/>
          <w:lang w:bidi="ar-IQ"/>
        </w:rPr>
        <w:t>...</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تمرين 2:</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ضَعْ منْعُوتاً مُناسباً في المكان الخالي، واشكلْ آخِرَهُ:</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يحبُّ الناسُ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العادِل.</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في البُستَان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مُفَتَّحَةٌ.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الكثيرُ يضر المعدة.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وضَعْتُ الصورة في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بَديعٍ.</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أَبْصَرْتُ في الْحَقْلِ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مفْترساً.</w:t>
      </w:r>
    </w:p>
    <w:p w:rsidR="00D314DF" w:rsidRDefault="00D314DF" w:rsidP="00D314DF">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6-</w:t>
      </w:r>
      <w:r>
        <w:rPr>
          <w:rFonts w:ascii="Traditional Arabic" w:hAnsi="Traditional Arabic" w:cs="Traditional Arabic"/>
          <w:b/>
          <w:bCs/>
          <w:color w:val="000000"/>
          <w:sz w:val="44"/>
          <w:szCs w:val="44"/>
          <w:rtl/>
          <w:lang w:bidi="ar-IQ"/>
        </w:rPr>
        <w:t xml:space="preserve"> أَكْرهُ السَّيْرَ في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المُزْدَحِمة.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 xml:space="preserve">7- </w:t>
      </w:r>
      <w:r>
        <w:rPr>
          <w:rFonts w:ascii="Traditional Arabic" w:hAnsi="Traditional Arabic" w:cs="Traditional Arabic"/>
          <w:b/>
          <w:bCs/>
          <w:color w:val="000000"/>
          <w:sz w:val="44"/>
          <w:szCs w:val="44"/>
          <w:rtl/>
          <w:lang w:bidi="ar-IQ"/>
        </w:rPr>
        <w:t xml:space="preserve">تَحمِلُ الشجرةُ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ناضِجَة.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8-</w:t>
      </w:r>
      <w:r>
        <w:rPr>
          <w:rFonts w:ascii="Traditional Arabic" w:hAnsi="Traditional Arabic" w:cs="Traditional Arabic"/>
          <w:b/>
          <w:bCs/>
          <w:color w:val="000000"/>
          <w:sz w:val="44"/>
          <w:szCs w:val="44"/>
          <w:rtl/>
          <w:lang w:bidi="ar-IQ"/>
        </w:rPr>
        <w:t xml:space="preserve"> في السَّماءِ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لامعةٌ.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9-</w:t>
      </w:r>
      <w:r>
        <w:rPr>
          <w:rFonts w:ascii="Traditional Arabic" w:hAnsi="Traditional Arabic" w:cs="Traditional Arabic"/>
          <w:b/>
          <w:bCs/>
          <w:color w:val="000000"/>
          <w:sz w:val="44"/>
          <w:szCs w:val="44"/>
          <w:rtl/>
          <w:lang w:bidi="ar-IQ"/>
        </w:rPr>
        <w:t xml:space="preserve"> للطاووس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جميل.</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10-</w:t>
      </w:r>
      <w:r>
        <w:rPr>
          <w:rFonts w:ascii="Traditional Arabic" w:hAnsi="Traditional Arabic" w:cs="Traditional Arabic"/>
          <w:b/>
          <w:bCs/>
          <w:color w:val="000000"/>
          <w:sz w:val="44"/>
          <w:szCs w:val="44"/>
          <w:rtl/>
          <w:lang w:bidi="ar-IQ"/>
        </w:rPr>
        <w:t xml:space="preserve"> أَرَى في الجَوِّ </w:t>
      </w:r>
      <w:r>
        <w:rPr>
          <w:rFonts w:ascii="Traditional Arabic" w:hAnsi="Traditional Arabic" w:cs="Traditional Arabic"/>
          <w:b/>
          <w:bCs/>
          <w:color w:val="FF0000"/>
          <w:sz w:val="44"/>
          <w:szCs w:val="44"/>
          <w:rtl/>
          <w:lang w:bidi="ar-IQ"/>
        </w:rPr>
        <w:t>...</w:t>
      </w:r>
      <w:r>
        <w:rPr>
          <w:rFonts w:ascii="Traditional Arabic" w:hAnsi="Traditional Arabic" w:cs="Traditional Arabic"/>
          <w:b/>
          <w:bCs/>
          <w:color w:val="000000"/>
          <w:sz w:val="44"/>
          <w:szCs w:val="44"/>
          <w:rtl/>
          <w:lang w:bidi="ar-IQ"/>
        </w:rPr>
        <w:t xml:space="preserve"> كثيفا.</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3:</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ضع الأسماء الآتية في جمل، ثُمَّ انعتْهَا بنُعُوت مُنَاسِبَةٍ، مع ضبْط آخر النعت والمنعوت:</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نهْر، طَريق، نَخْلَة، مطر، برد، المسجد، البِنَاء، البُسْتَان، السماء، البَحْر، السفينَة، القطار.</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4:</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كوِّن جملاً تشتمل كل واحدة منها على اسم منعُوتٍ بأَحد الأَوْصاف الآتية، مع ضبط آخر النعت والمنعوت:</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خشن، عذب، ناضِجة، ذَابِلَة، لامعة، مفْتَرس، الرائق، الحُلْو، النَّظِيف، المحلوج.</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تمرين 5:</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كون خمس جمل فعلية يكون الفاعل في كل منها منعوتاً.</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كوِّنْ خمس جمل فعلية يكون المفعول به في كل منها منعوتاً.</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كوِّنْ خمسَ جمل اسمية يكون المبتدأ في كل منها منعوتاً.</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4-</w:t>
      </w:r>
      <w:r>
        <w:rPr>
          <w:rFonts w:ascii="Traditional Arabic" w:hAnsi="Traditional Arabic" w:cs="Traditional Arabic"/>
          <w:b/>
          <w:bCs/>
          <w:color w:val="000000"/>
          <w:sz w:val="44"/>
          <w:szCs w:val="44"/>
          <w:rtl/>
          <w:lang w:bidi="ar-IQ"/>
        </w:rPr>
        <w:t xml:space="preserve"> كوِّنْ خمسَ جُمَلٍ اسمية يكون الخبر في كلٍّ منها منعوتاً.</w:t>
      </w:r>
    </w:p>
    <w:p w:rsidR="00D314DF" w:rsidRDefault="00D314DF" w:rsidP="00D314DF">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5-</w:t>
      </w:r>
      <w:r>
        <w:rPr>
          <w:rFonts w:ascii="Traditional Arabic" w:hAnsi="Traditional Arabic" w:cs="Traditional Arabic"/>
          <w:b/>
          <w:bCs/>
          <w:color w:val="000000"/>
          <w:sz w:val="44"/>
          <w:szCs w:val="44"/>
          <w:rtl/>
          <w:lang w:bidi="ar-IQ"/>
        </w:rPr>
        <w:t xml:space="preserve"> كون خمس جمل في كل واحدة منها اسم مجرور مَنْعُوتٌ.</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6 في الإنشاء:</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كون سبع جمل فعليةٍ بحَيْثُ يَجيءُ لفظ "الثَّوْرِ" في كلٍّ منها موصوفاً بصِفَةٍ تُلائِمُهُ، ثُم اسْتَعِنْ بهذه الْجُمَل على كتابةِ مَوْضُوعٍ صَغِير في وصف الثَّوْرِ.</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تمرين 7 في الإعراب:</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أ- نموذج:</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رَبحَ التاجِرُ الأَمينُ:</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رَبحَ: فعلٌ ماض.</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التاجر: فاعل مرفوع.</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lastRenderedPageBreak/>
        <w:t>الأَمِينُ: نعتٌ مرفوعٌ.</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يَقْرأُ عليٌّ كِتاباً مُفِيداً.</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يَقْرأُ: فعلٌ مضارعٌ مرفوعٌ.</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عَليٌّ: فاعلٌ مرفوعٌ.</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كِتاباً: مفعول به منصوب.</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مُفيداً: نَعْتٌ منصوبٌ.</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000000"/>
          <w:sz w:val="44"/>
          <w:szCs w:val="44"/>
          <w:rtl/>
          <w:lang w:bidi="ar-IQ"/>
        </w:rPr>
        <w:t>ب- أعرب الجمل الآتيةَ:</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1-</w:t>
      </w:r>
      <w:r>
        <w:rPr>
          <w:rFonts w:ascii="Traditional Arabic" w:hAnsi="Traditional Arabic" w:cs="Traditional Arabic"/>
          <w:b/>
          <w:bCs/>
          <w:color w:val="000000"/>
          <w:sz w:val="44"/>
          <w:szCs w:val="44"/>
          <w:rtl/>
          <w:lang w:bidi="ar-IQ"/>
        </w:rPr>
        <w:t xml:space="preserve"> نَزَلَ مِنَ السماءِ مطَرٌ غَزيرٌ.</w:t>
      </w:r>
    </w:p>
    <w:p w:rsidR="00D314DF" w:rsidRDefault="00D314DF" w:rsidP="00D314DF">
      <w:pPr>
        <w:autoSpaceDE w:val="0"/>
        <w:autoSpaceDN w:val="0"/>
        <w:adjustRightInd w:val="0"/>
        <w:spacing w:after="0" w:line="240" w:lineRule="auto"/>
        <w:rPr>
          <w:rFonts w:ascii="Traditional Arabic" w:hAnsi="Traditional Arabic" w:cs="Traditional Arabic"/>
          <w:b/>
          <w:bCs/>
          <w:color w:val="FF0000"/>
          <w:sz w:val="44"/>
          <w:szCs w:val="44"/>
          <w:rtl/>
          <w:lang w:bidi="ar-IQ"/>
        </w:rPr>
      </w:pPr>
      <w:r>
        <w:rPr>
          <w:rFonts w:ascii="Traditional Arabic" w:hAnsi="Traditional Arabic" w:cs="Traditional Arabic"/>
          <w:b/>
          <w:bCs/>
          <w:color w:val="FF0000"/>
          <w:sz w:val="44"/>
          <w:szCs w:val="44"/>
          <w:rtl/>
          <w:lang w:bidi="ar-IQ"/>
        </w:rPr>
        <w:t>2-</w:t>
      </w:r>
      <w:r>
        <w:rPr>
          <w:rFonts w:ascii="Traditional Arabic" w:hAnsi="Traditional Arabic" w:cs="Traditional Arabic"/>
          <w:b/>
          <w:bCs/>
          <w:color w:val="000000"/>
          <w:sz w:val="44"/>
          <w:szCs w:val="44"/>
          <w:rtl/>
          <w:lang w:bidi="ar-IQ"/>
        </w:rPr>
        <w:t xml:space="preserve"> يَلْبَسُ عَليٌّ حِذَاءً واسعاً.</w:t>
      </w:r>
    </w:p>
    <w:p w:rsidR="00D314DF" w:rsidRDefault="00D314DF" w:rsidP="00D314DF">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FF0000"/>
          <w:sz w:val="44"/>
          <w:szCs w:val="44"/>
          <w:rtl/>
          <w:lang w:bidi="ar-IQ"/>
        </w:rPr>
        <w:t>3-</w:t>
      </w:r>
      <w:r>
        <w:rPr>
          <w:rFonts w:ascii="Traditional Arabic" w:hAnsi="Traditional Arabic" w:cs="Traditional Arabic"/>
          <w:b/>
          <w:bCs/>
          <w:color w:val="000000"/>
          <w:sz w:val="44"/>
          <w:szCs w:val="44"/>
          <w:rtl/>
          <w:lang w:bidi="ar-IQ"/>
        </w:rPr>
        <w:t xml:space="preserve"> يكثُرُ النَّحْلُ في البَسَاتينِ الْمُثْمِرَة.</w:t>
      </w:r>
    </w:p>
    <w:p w:rsidR="00FA251C" w:rsidRDefault="00FA251C">
      <w:pPr>
        <w:rPr>
          <w:rFonts w:hint="cs"/>
          <w:rtl/>
          <w:lang w:bidi="ar-IQ"/>
        </w:rPr>
      </w:pPr>
    </w:p>
    <w:p w:rsidR="00D314DF" w:rsidRDefault="00D314DF">
      <w:pPr>
        <w:rPr>
          <w:rFonts w:hint="cs"/>
          <w:rtl/>
          <w:lang w:bidi="ar-IQ"/>
        </w:rPr>
      </w:pPr>
    </w:p>
    <w:p w:rsidR="00D314DF" w:rsidRDefault="00D314DF" w:rsidP="00D314DF">
      <w:pPr>
        <w:autoSpaceDE w:val="0"/>
        <w:autoSpaceDN w:val="0"/>
        <w:adjustRightInd w:val="0"/>
        <w:spacing w:after="0" w:line="240" w:lineRule="auto"/>
        <w:jc w:val="center"/>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النعت "</w:t>
      </w:r>
      <w:r>
        <w:rPr>
          <w:rFonts w:ascii="Traditional Arabic" w:hAnsi="Traditional Arabic" w:cs="Traditional Arabic" w:hint="cs"/>
          <w:b/>
          <w:bCs/>
          <w:color w:val="000000"/>
          <w:sz w:val="44"/>
          <w:szCs w:val="44"/>
          <w:rtl/>
          <w:lang w:bidi="ar-IQ"/>
        </w:rPr>
        <w:t xml:space="preserve"> في كتاب التحفة السنية</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قال: " باب النعت " النعت: تابع للمنعوت في رفعه ونصبه وخفضه، وتعريفه وتنكيره؛ قام زيدُُ العاقلُ، ورأيتُ زيداً العاقل، ومررت بزيد العاقل.</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وأقول: النعت في اللغة هو الوصف، وفي اصطلاح النحويين هو: التابع المشتق أو المؤوَّلُ بالمشتق، الموضِّح </w:t>
      </w:r>
      <w:proofErr w:type="spellStart"/>
      <w:r>
        <w:rPr>
          <w:rFonts w:ascii="Traditional Arabic" w:hAnsi="Traditional Arabic" w:cs="Traditional Arabic"/>
          <w:b/>
          <w:bCs/>
          <w:color w:val="000000"/>
          <w:sz w:val="44"/>
          <w:szCs w:val="44"/>
          <w:rtl/>
          <w:lang w:bidi="ar-IQ"/>
        </w:rPr>
        <w:t>لمتبوعه</w:t>
      </w:r>
      <w:proofErr w:type="spellEnd"/>
      <w:r>
        <w:rPr>
          <w:rFonts w:ascii="Traditional Arabic" w:hAnsi="Traditional Arabic" w:cs="Traditional Arabic"/>
          <w:b/>
          <w:bCs/>
          <w:color w:val="000000"/>
          <w:sz w:val="44"/>
          <w:szCs w:val="44"/>
          <w:rtl/>
          <w:lang w:bidi="ar-IQ"/>
        </w:rPr>
        <w:t xml:space="preserve"> في المعارف، </w:t>
      </w:r>
      <w:proofErr w:type="spellStart"/>
      <w:r>
        <w:rPr>
          <w:rFonts w:ascii="Traditional Arabic" w:hAnsi="Traditional Arabic" w:cs="Traditional Arabic"/>
          <w:b/>
          <w:bCs/>
          <w:color w:val="000000"/>
          <w:sz w:val="44"/>
          <w:szCs w:val="44"/>
          <w:rtl/>
          <w:lang w:bidi="ar-IQ"/>
        </w:rPr>
        <w:t>المخصِّصصُ</w:t>
      </w:r>
      <w:proofErr w:type="spellEnd"/>
      <w:r>
        <w:rPr>
          <w:rFonts w:ascii="Traditional Arabic" w:hAnsi="Traditional Arabic" w:cs="Traditional Arabic"/>
          <w:b/>
          <w:bCs/>
          <w:color w:val="000000"/>
          <w:sz w:val="44"/>
          <w:szCs w:val="44"/>
          <w:rtl/>
          <w:lang w:bidi="ar-IQ"/>
        </w:rPr>
        <w:t xml:space="preserve"> له في النكرات.</w:t>
      </w:r>
    </w:p>
    <w:p w:rsidR="00D314DF" w:rsidRDefault="00D314DF" w:rsidP="00D314DF">
      <w:pPr>
        <w:autoSpaceDE w:val="0"/>
        <w:autoSpaceDN w:val="0"/>
        <w:adjustRightInd w:val="0"/>
        <w:spacing w:after="0" w:line="240" w:lineRule="auto"/>
        <w:rPr>
          <w:rFonts w:ascii="Traditional Arabic" w:hAnsi="Traditional Arabic" w:cs="Traditional Arabic" w:hint="cs"/>
          <w:b/>
          <w:bCs/>
          <w:color w:val="000000"/>
          <w:sz w:val="44"/>
          <w:szCs w:val="44"/>
          <w:rtl/>
          <w:lang w:bidi="ar-IQ"/>
        </w:rPr>
      </w:pPr>
      <w:r>
        <w:rPr>
          <w:rFonts w:ascii="Traditional Arabic" w:hAnsi="Traditional Arabic" w:cs="Traditional Arabic"/>
          <w:b/>
          <w:bCs/>
          <w:color w:val="000000"/>
          <w:sz w:val="44"/>
          <w:szCs w:val="44"/>
          <w:rtl/>
          <w:lang w:bidi="ar-IQ"/>
        </w:rPr>
        <w:lastRenderedPageBreak/>
        <w:t>والنعتُ ينقسمُ إلى قسمين: الأولُ: النعتُ الحقيقي، والثاني: النعت السببي.</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أما النعتُ الحقيقي فهو: ما رفع ضميراً مستتراً يعود إلى المنعوت، نحو " جاء محمدٌُُ العاقلُ " فالعاقل: نعتٌ لمحمد، وهو رافع لضمير مستتر تقديره هو يعود إلى محمد.</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وأما النعت السببي فهو: ما رفع اسماً ظاهراً متصلاً بضمير يعود إلى المنعوت نحو " جاء محمدٌ الفاضلُ أبوه " فالفاضلُ: نعت لمحمد، وأبوه: فاعل للفاضل، مرفوع بالواو نيابة عن الضمة لأنه من الأسماء الخمسة، وهو مضاف إلى الهاء التي هي ضمير عائد إلى محمد.</w:t>
      </w:r>
    </w:p>
    <w:p w:rsidR="00D314DF" w:rsidRDefault="00D314DF" w:rsidP="00D314DF">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وحكم النعت أنه يتبع منعوته في إعرابه، وفي تعريفه أو تنكيره، سواءٌ أكان حقيقياً أم سببياً.</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ومعنى هذا أنه إن كان المنعوت مرفوعاً كان النعت مرفوعاً، نحو: " حضر محمدٌُُ العاقلُ "أو " حضر محمدٌ الفاضلُ أبوه "، وإن كان المنعوت منصوباً كان النعت منصوباً نحو: " رأيتُ محمداً الفاضل " أو " رأيت محمداً الفاضلُ أبوه "، وإن كان المنعوت مخفوضاً كان النعت مخفوضاً نحو: " نظرتُ إلى محمدٍ الفاضل " أو " نظرتُ إلى محمدٍ الفاضلِ أبوه "، وإن كان المنعوت معرفة كان النعت معرفة، كما في جميع الأمثلة السابقة، وإن كان المنعوت نكرة كان النعتُ نكرة، " رأيتُ رجلاً عاقلاً " أو " رأيت رجلاً عاقلاً أبوهُ ".</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lastRenderedPageBreak/>
        <w:t>ثم إن كان النعت حقيقياً زاد على ذلك أنه يتبع منعوته في تذكيره أو تأنيثه، وفي إفراده أو تثنيته أو جمعه.</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ومعنى ذلك أنه إن كان المنعوت مذكراً كان النعتُ مذكراً، نحو: " رأيتُ محمداً العاقلُ " و إن كان المنعوتُ مؤنثاً كان النعتُ مؤنثاً نحو: " رأيتُ فاطمةَ المهذبةَ "وإن كان المنعوت مفرداً كان النعتُ مفرداً كما رأيت في هذين المثالين، وإن كان المنعوت مثنى كان النعت مثنى، نحو: " رأيت المحمدين العاقلين " وإن كان المنعوت جمعاً كان النعتُ جمعاً نحو: " رأيتُ الرجال العقلاءَ ".</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أما النعتُ السببي فإنه يكون مفرداً دائماً ولو كان منعوته مثنى أو مجموعاً تقول: " رأيتُ الوَلدينِ العاقلِ أبوهما " وتقول: " رأيتُ الأولاد العاقل أبوهم " ويتبع النعت السببي ما بعده في التذكير أو التأنيث، تقول: " رأيتُ البنات العاقل أبوهنَّ "، وتقول: " رأيتُ الأولاد العاقلة أُمُّهُم ".</w:t>
      </w:r>
    </w:p>
    <w:p w:rsidR="00D314DF" w:rsidRDefault="00D314DF" w:rsidP="00D314DF">
      <w:pPr>
        <w:autoSpaceDE w:val="0"/>
        <w:autoSpaceDN w:val="0"/>
        <w:adjustRightInd w:val="0"/>
        <w:spacing w:after="0" w:line="240" w:lineRule="auto"/>
        <w:rPr>
          <w:rFonts w:ascii="Traditional Arabic" w:hAnsi="Traditional Arabic" w:cs="Traditional Arabic"/>
          <w:b/>
          <w:bCs/>
          <w:sz w:val="44"/>
          <w:szCs w:val="44"/>
          <w:rtl/>
          <w:lang w:bidi="ar-IQ"/>
        </w:rPr>
      </w:pPr>
      <w:r>
        <w:rPr>
          <w:rFonts w:ascii="Traditional Arabic" w:hAnsi="Traditional Arabic" w:cs="Traditional Arabic"/>
          <w:b/>
          <w:bCs/>
          <w:color w:val="000000"/>
          <w:sz w:val="44"/>
          <w:szCs w:val="44"/>
          <w:rtl/>
          <w:lang w:bidi="ar-IQ"/>
        </w:rPr>
        <w:t>فتلخص من هذا الإيضاح أن النعت الحقيقي يتبع منعوته في أربعة من عشرة. واحد من الإفراد والتثنية والجمع، وواحد من الرفع والنصب والخفض، وواحد من التذكير والتأنيث، وواحد من التعريف والتنكير.</w:t>
      </w:r>
    </w:p>
    <w:p w:rsidR="00D314DF" w:rsidRDefault="00D314DF" w:rsidP="00D314DF">
      <w:pPr>
        <w:autoSpaceDE w:val="0"/>
        <w:autoSpaceDN w:val="0"/>
        <w:adjustRightInd w:val="0"/>
        <w:spacing w:after="0" w:line="240" w:lineRule="auto"/>
        <w:rPr>
          <w:rFonts w:ascii="Traditional Arabic" w:hAnsi="Traditional Arabic" w:cs="Traditional Arabic"/>
          <w:b/>
          <w:bCs/>
          <w:color w:val="000000"/>
          <w:sz w:val="44"/>
          <w:szCs w:val="44"/>
          <w:rtl/>
          <w:lang w:bidi="ar-IQ"/>
        </w:rPr>
      </w:pPr>
      <w:r>
        <w:rPr>
          <w:rFonts w:ascii="Traditional Arabic" w:hAnsi="Traditional Arabic" w:cs="Traditional Arabic"/>
          <w:b/>
          <w:bCs/>
          <w:color w:val="000000"/>
          <w:sz w:val="44"/>
          <w:szCs w:val="44"/>
          <w:rtl/>
          <w:lang w:bidi="ar-IQ"/>
        </w:rPr>
        <w:t xml:space="preserve">والنعت السببي يتبع منعوته في اثنين من خمسة: واحد من الرفع والنصب والخفض، وواحد من التعريف والتنكير، ويتبع </w:t>
      </w:r>
      <w:proofErr w:type="spellStart"/>
      <w:r>
        <w:rPr>
          <w:rFonts w:ascii="Traditional Arabic" w:hAnsi="Traditional Arabic" w:cs="Traditional Arabic"/>
          <w:b/>
          <w:bCs/>
          <w:color w:val="000000"/>
          <w:sz w:val="44"/>
          <w:szCs w:val="44"/>
          <w:rtl/>
          <w:lang w:bidi="ar-IQ"/>
        </w:rPr>
        <w:t>مرفوعه</w:t>
      </w:r>
      <w:proofErr w:type="spellEnd"/>
      <w:r>
        <w:rPr>
          <w:rFonts w:ascii="Traditional Arabic" w:hAnsi="Traditional Arabic" w:cs="Traditional Arabic"/>
          <w:b/>
          <w:bCs/>
          <w:color w:val="000000"/>
          <w:sz w:val="44"/>
          <w:szCs w:val="44"/>
          <w:rtl/>
          <w:lang w:bidi="ar-IQ"/>
        </w:rPr>
        <w:t xml:space="preserve"> الذي بعده في واحد من اثنين وهما التذكير والتأنيث، ولا يتبع شيئاً في الإفراد والتثنية والجمع، بل يكون مفرداً دائماً وأبداً، والله أعلم.</w:t>
      </w:r>
    </w:p>
    <w:p w:rsidR="00D314DF" w:rsidRDefault="00D314DF">
      <w:pPr>
        <w:rPr>
          <w:lang w:bidi="ar-IQ"/>
        </w:rPr>
      </w:pPr>
    </w:p>
    <w:sectPr w:rsidR="00D314DF" w:rsidSect="00FB31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61273C"/>
    <w:rsid w:val="0061273C"/>
    <w:rsid w:val="007E1383"/>
    <w:rsid w:val="00D314DF"/>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2</cp:revision>
  <dcterms:created xsi:type="dcterms:W3CDTF">2018-10-20T20:31:00Z</dcterms:created>
  <dcterms:modified xsi:type="dcterms:W3CDTF">2018-10-20T20:38:00Z</dcterms:modified>
</cp:coreProperties>
</file>