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B" w:rsidRPr="005038BB" w:rsidRDefault="005038BB" w:rsidP="005038BB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الثاني/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التربية الصحية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4999" w:type="pct"/>
        <w:jc w:val="center"/>
        <w:tblLook w:val="04A0"/>
      </w:tblPr>
      <w:tblGrid>
        <w:gridCol w:w="18"/>
        <w:gridCol w:w="514"/>
        <w:gridCol w:w="3813"/>
        <w:gridCol w:w="869"/>
        <w:gridCol w:w="724"/>
        <w:gridCol w:w="704"/>
        <w:gridCol w:w="809"/>
        <w:gridCol w:w="1044"/>
        <w:gridCol w:w="25"/>
      </w:tblGrid>
      <w:tr w:rsidR="005038BB" w:rsidRPr="007503DD" w:rsidTr="00BB6539">
        <w:trPr>
          <w:gridAfter w:val="1"/>
          <w:cnfStyle w:val="100000000000"/>
          <w:wAfter w:w="19" w:type="pct"/>
          <w:trHeight w:val="102"/>
          <w:jc w:val="center"/>
        </w:trPr>
        <w:tc>
          <w:tcPr>
            <w:cnfStyle w:val="001000000000"/>
            <w:tcW w:w="49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5038BB" w:rsidRPr="007503DD" w:rsidRDefault="005038BB" w:rsidP="005038B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المعلومات العامة عن المساق: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5038BB" w:rsidRPr="007503DD" w:rsidTr="00BB6539">
        <w:trPr>
          <w:gridBefore w:val="1"/>
          <w:cnfStyle w:val="00000010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اسم المساق</w:t>
            </w: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التربية الصحية</w:t>
            </w:r>
          </w:p>
        </w:tc>
      </w:tr>
      <w:tr w:rsidR="005038BB" w:rsidRPr="007503DD" w:rsidTr="00BB6539">
        <w:trPr>
          <w:gridBefore w:val="1"/>
          <w:cnfStyle w:val="00000001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رمز المساق ورقمه: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BD6B3A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967A34">
              <w:rPr>
                <w:b/>
                <w:bCs/>
                <w:sz w:val="28"/>
                <w:szCs w:val="28"/>
                <w:lang w:bidi="ar-IQ"/>
              </w:rPr>
              <w:t>5211322</w:t>
            </w:r>
            <w:r>
              <w:rPr>
                <w:b/>
                <w:bCs/>
                <w:sz w:val="28"/>
                <w:szCs w:val="28"/>
                <w:lang w:bidi="ar-IQ"/>
              </w:rPr>
              <w:t>19</w:t>
            </w:r>
          </w:p>
        </w:tc>
      </w:tr>
      <w:tr w:rsidR="005038BB" w:rsidRPr="007503DD" w:rsidTr="00BB6539">
        <w:trPr>
          <w:gridBefore w:val="1"/>
          <w:cnfStyle w:val="00000010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الساعات المعتمدة: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محاضرة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سمنار</w:t>
            </w:r>
          </w:p>
        </w:tc>
        <w:tc>
          <w:tcPr>
            <w:tcW w:w="4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تدريب</w:t>
            </w:r>
          </w:p>
        </w:tc>
        <w:tc>
          <w:tcPr>
            <w:tcW w:w="6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الإجمالي</w:t>
            </w:r>
          </w:p>
        </w:tc>
      </w:tr>
      <w:tr w:rsidR="005038BB" w:rsidRPr="007503DD" w:rsidTr="00BB6539">
        <w:trPr>
          <w:gridBefore w:val="1"/>
          <w:cnfStyle w:val="000000010000"/>
          <w:wBefore w:w="19" w:type="pct"/>
          <w:trHeight w:val="102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rtl/>
                <w:lang w:bidi="ar-IQ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4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4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63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2</w:t>
            </w:r>
          </w:p>
        </w:tc>
      </w:tr>
      <w:tr w:rsidR="005038BB" w:rsidRPr="007503DD" w:rsidTr="00BB6539">
        <w:trPr>
          <w:gridBefore w:val="1"/>
          <w:cnfStyle w:val="00000010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المستوى والفصل الدراسي: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المرحلة الاولى (فصل دراسي واحد)</w:t>
            </w:r>
          </w:p>
        </w:tc>
      </w:tr>
      <w:tr w:rsidR="005038BB" w:rsidRPr="007503DD" w:rsidTr="00BB6539">
        <w:trPr>
          <w:gridBefore w:val="1"/>
          <w:cnfStyle w:val="00000001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المتطلبات السابقة للمساق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ثقافة عامة عن التربية الصحية والوعي الصحي</w:t>
            </w:r>
          </w:p>
        </w:tc>
      </w:tr>
      <w:tr w:rsidR="005038BB" w:rsidRPr="007503DD" w:rsidTr="00BB6539">
        <w:trPr>
          <w:gridBefore w:val="1"/>
          <w:cnfStyle w:val="00000010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المتطلبات المصاحبة للمساق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بعض الكتب والجداريات والبوسترات كوسائل ايضاح</w:t>
            </w:r>
          </w:p>
        </w:tc>
      </w:tr>
      <w:tr w:rsidR="005038BB" w:rsidRPr="007503DD" w:rsidTr="00BB6539">
        <w:trPr>
          <w:gridBefore w:val="1"/>
          <w:cnfStyle w:val="00000001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البرنامج/البرامج التي يتم فيها تدريس المساق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بكلوريوس في التربية الاسرية والمهن الفنية</w:t>
            </w:r>
          </w:p>
        </w:tc>
      </w:tr>
      <w:tr w:rsidR="005038BB" w:rsidRPr="007503DD" w:rsidTr="00BB6539">
        <w:trPr>
          <w:gridBefore w:val="1"/>
          <w:cnfStyle w:val="00000010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لغة تدريس المساق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اللغة العربية</w:t>
            </w:r>
          </w:p>
        </w:tc>
      </w:tr>
      <w:tr w:rsidR="005038BB" w:rsidRPr="007503DD" w:rsidTr="00BB6539">
        <w:trPr>
          <w:gridBefore w:val="1"/>
          <w:cnfStyle w:val="00000001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مكان تدريس المساق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الحرم الجامعي/ كلية التربية الاساسية/ قسم الاسرية والمهن الفنية</w:t>
            </w:r>
          </w:p>
        </w:tc>
      </w:tr>
      <w:tr w:rsidR="005038BB" w:rsidRPr="007503DD" w:rsidTr="00BB6539">
        <w:trPr>
          <w:gridBefore w:val="1"/>
          <w:cnfStyle w:val="00000010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اسم معد مواصفات المساق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م.م. سرى عبيد نعمة العيساوي</w:t>
            </w:r>
          </w:p>
        </w:tc>
      </w:tr>
      <w:tr w:rsidR="005038BB" w:rsidRPr="007503DD" w:rsidTr="00BB6539">
        <w:trPr>
          <w:gridBefore w:val="1"/>
          <w:cnfStyle w:val="000000010000"/>
          <w:wBefore w:w="19" w:type="pct"/>
          <w:trHeight w:val="102"/>
          <w:jc w:val="center"/>
        </w:trPr>
        <w:tc>
          <w:tcPr>
            <w:cnfStyle w:val="001000000000"/>
            <w:tcW w:w="3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2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24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جهة وتاريخ المصادقة على مواصفات البرنامج</w:t>
            </w:r>
          </w:p>
        </w:tc>
        <w:tc>
          <w:tcPr>
            <w:tcW w:w="242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قسم الاسرية والمهن الفنية/ اللجنة العلمية/ 2015</w:t>
            </w:r>
          </w:p>
        </w:tc>
      </w:tr>
      <w:tr w:rsidR="005038BB" w:rsidRPr="007503DD" w:rsidTr="00BB6539">
        <w:trPr>
          <w:gridAfter w:val="1"/>
          <w:cnfStyle w:val="000000100000"/>
          <w:wAfter w:w="19" w:type="pct"/>
          <w:trHeight w:val="102"/>
          <w:jc w:val="center"/>
        </w:trPr>
        <w:tc>
          <w:tcPr>
            <w:cnfStyle w:val="001000000000"/>
            <w:tcW w:w="49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5038BB" w:rsidRPr="007503DD" w:rsidRDefault="005038BB" w:rsidP="005038B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وصف المساق: (</w:t>
            </w:r>
            <w:r w:rsidRPr="007503DD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Course description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)</w:t>
            </w:r>
          </w:p>
          <w:p w:rsidR="005038BB" w:rsidRPr="007503DD" w:rsidRDefault="005038BB" w:rsidP="005038BB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rtl/>
                <w:lang w:bidi="ar-IQ"/>
              </w:rPr>
            </w:pPr>
            <w:r w:rsidRPr="007503DD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توضح المادة اهم الوسائل والطرق المتبعة للحف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 xml:space="preserve">اظ على الوعي الصحي والتربية الصحية في </w:t>
            </w:r>
            <w:r w:rsidRPr="007503DD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المجتمع، والتعرف على اهم المقاييس التي من خلالها يتم التعرف على المستوى الصحي داخل المجتمع للحفاظ على الصحة العامة</w:t>
            </w:r>
            <w:r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, اضافة الى التعرف على مجموعة من الامراض التي تصيب الانسان وماهي اعراضها وكيفية الوقاية منها</w:t>
            </w:r>
            <w:r w:rsidRPr="007503DD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>.</w:t>
            </w:r>
          </w:p>
        </w:tc>
      </w:tr>
      <w:tr w:rsidR="005038BB" w:rsidRPr="007503DD" w:rsidTr="00BB6539">
        <w:trPr>
          <w:gridAfter w:val="1"/>
          <w:cnfStyle w:val="000000010000"/>
          <w:wAfter w:w="19" w:type="pct"/>
          <w:trHeight w:val="102"/>
          <w:jc w:val="center"/>
        </w:trPr>
        <w:tc>
          <w:tcPr>
            <w:cnfStyle w:val="001000000000"/>
            <w:tcW w:w="49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038BB" w:rsidRPr="007503DD" w:rsidTr="00BB6539">
        <w:trPr>
          <w:gridAfter w:val="1"/>
          <w:cnfStyle w:val="000000100000"/>
          <w:wAfter w:w="19" w:type="pct"/>
          <w:trHeight w:val="102"/>
          <w:jc w:val="center"/>
        </w:trPr>
        <w:tc>
          <w:tcPr>
            <w:cnfStyle w:val="001000000000"/>
            <w:tcW w:w="49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5038B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مخرجات تعلم المساق</w:t>
            </w:r>
            <w:r w:rsidRPr="007503DD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IQ"/>
              </w:rPr>
              <w:t xml:space="preserve">: </w:t>
            </w:r>
            <w:r w:rsidRPr="007503DD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(Course outcomes)</w:t>
            </w:r>
          </w:p>
        </w:tc>
      </w:tr>
      <w:tr w:rsidR="005038BB" w:rsidRPr="007503DD" w:rsidTr="005038BB">
        <w:trPr>
          <w:gridAfter w:val="1"/>
          <w:cnfStyle w:val="000000010000"/>
          <w:wAfter w:w="19" w:type="pct"/>
          <w:trHeight w:val="1601"/>
          <w:jc w:val="center"/>
        </w:trPr>
        <w:tc>
          <w:tcPr>
            <w:cnfStyle w:val="001000000000"/>
            <w:tcW w:w="49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pStyle w:val="ListParagraph"/>
              <w:numPr>
                <w:ilvl w:val="0"/>
                <w:numId w:val="6"/>
              </w:numPr>
              <w:bidi/>
              <w:rPr>
                <w:color w:val="000000"/>
                <w:sz w:val="24"/>
                <w:szCs w:val="24"/>
                <w:rtl/>
                <w:lang w:bidi="ar-IQ"/>
              </w:rPr>
            </w:pPr>
            <w:r w:rsidRPr="007503DD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تحديد المفاهيم الاساسية لل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وعي الصحي وال</w:t>
            </w:r>
            <w:r w:rsidRPr="007503DD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صحة العامة</w:t>
            </w:r>
            <w:r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.</w:t>
            </w:r>
          </w:p>
          <w:p w:rsidR="005038BB" w:rsidRPr="007503DD" w:rsidRDefault="005038BB" w:rsidP="005038BB">
            <w:pPr>
              <w:pStyle w:val="ListParagraph"/>
              <w:numPr>
                <w:ilvl w:val="0"/>
                <w:numId w:val="6"/>
              </w:numPr>
              <w:bidi/>
              <w:rPr>
                <w:color w:val="000000"/>
                <w:sz w:val="24"/>
                <w:szCs w:val="24"/>
                <w:lang w:bidi="ar-IQ"/>
              </w:rPr>
            </w:pPr>
            <w:r w:rsidRPr="007503DD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التعرف على دور الخدمات الصحية العامة المقدمة للارتقاء بالمستوى الصحي في المجتمع .</w:t>
            </w:r>
          </w:p>
          <w:p w:rsidR="005038BB" w:rsidRPr="007503DD" w:rsidRDefault="005038BB" w:rsidP="005038BB">
            <w:pPr>
              <w:numPr>
                <w:ilvl w:val="0"/>
                <w:numId w:val="6"/>
              </w:numPr>
              <w:tabs>
                <w:tab w:val="num" w:pos="720"/>
              </w:tabs>
              <w:bidi/>
              <w:spacing w:line="276" w:lineRule="auto"/>
              <w:rPr>
                <w:color w:val="000000"/>
                <w:sz w:val="24"/>
                <w:szCs w:val="24"/>
                <w:lang w:bidi="ar-IQ"/>
              </w:rPr>
            </w:pPr>
            <w:r w:rsidRPr="007503DD">
              <w:rPr>
                <w:rFonts w:hint="cs"/>
                <w:color w:val="000000"/>
                <w:sz w:val="24"/>
                <w:szCs w:val="24"/>
                <w:rtl/>
                <w:lang w:bidi="ar-IQ"/>
              </w:rPr>
              <w:t>تحديد الطرق العلمية لقياس المستوى الصحي داخل البلد من خلال استخدام مقاييس خاصة وعمل برامج صحية تثقيفية لزيادة الوعي الصحي في المجتمع.</w:t>
            </w:r>
          </w:p>
          <w:p w:rsidR="005038BB" w:rsidRPr="005038BB" w:rsidRDefault="005038BB" w:rsidP="005038BB">
            <w:pPr>
              <w:pStyle w:val="ListParagraph"/>
              <w:numPr>
                <w:ilvl w:val="0"/>
                <w:numId w:val="6"/>
              </w:numPr>
              <w:bidi/>
              <w:rPr>
                <w:rFonts w:eastAsiaTheme="minorHAns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eastAsiaTheme="minorHAnsi" w:hint="cs"/>
                <w:color w:val="000000"/>
                <w:sz w:val="24"/>
                <w:szCs w:val="24"/>
                <w:rtl/>
                <w:lang w:bidi="ar-IQ"/>
              </w:rPr>
              <w:t>التعرف على المراض التي تصيب الانسان واعراضها وتحديد كيفية علاج هذه</w:t>
            </w:r>
            <w:r w:rsidRPr="007503DD">
              <w:rPr>
                <w:rFonts w:eastAsiaTheme="minorHAnsi" w:hint="cs"/>
                <w:color w:val="000000"/>
                <w:sz w:val="24"/>
                <w:szCs w:val="24"/>
                <w:rtl/>
                <w:lang w:bidi="ar-IQ"/>
              </w:rPr>
              <w:t xml:space="preserve"> الامراض الناتجة عن المسببات المرضية وكيفية الوقاية منها</w:t>
            </w:r>
          </w:p>
        </w:tc>
      </w:tr>
    </w:tbl>
    <w:p w:rsidR="005038BB" w:rsidRPr="007503DD" w:rsidRDefault="005038BB" w:rsidP="005038BB">
      <w:pPr>
        <w:bidi/>
        <w:rPr>
          <w:vanish/>
          <w:color w:val="000000"/>
          <w:sz w:val="24"/>
          <w:szCs w:val="24"/>
        </w:rPr>
      </w:pPr>
    </w:p>
    <w:p w:rsidR="005038BB" w:rsidRPr="007503DD" w:rsidRDefault="005038BB" w:rsidP="005038BB">
      <w:pPr>
        <w:bidi/>
        <w:rPr>
          <w:color w:val="000000"/>
          <w:sz w:val="24"/>
          <w:szCs w:val="24"/>
          <w:rtl/>
          <w:lang w:bidi="ar-IQ"/>
        </w:rPr>
      </w:pPr>
    </w:p>
    <w:tbl>
      <w:tblPr>
        <w:tblStyle w:val="LightGrid-Accent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322"/>
        <w:gridCol w:w="1538"/>
        <w:gridCol w:w="2176"/>
        <w:gridCol w:w="46"/>
        <w:gridCol w:w="1136"/>
        <w:gridCol w:w="841"/>
        <w:gridCol w:w="561"/>
        <w:gridCol w:w="329"/>
        <w:gridCol w:w="6"/>
        <w:gridCol w:w="979"/>
      </w:tblGrid>
      <w:tr w:rsidR="005038BB" w:rsidRPr="007503DD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5038B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lastRenderedPageBreak/>
              <w:t xml:space="preserve">كتابةمواضيع المساق ومواءمتها بمخرجات التعلم </w:t>
            </w:r>
          </w:p>
        </w:tc>
      </w:tr>
      <w:tr w:rsidR="005038BB" w:rsidRPr="007503DD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كتابة وحدات /مواضيع محتوى المساق</w:t>
            </w:r>
          </w:p>
        </w:tc>
      </w:tr>
      <w:tr w:rsidR="005038BB" w:rsidRPr="007503DD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 xml:space="preserve">أولا:الجانب النظري                                                       </w:t>
            </w:r>
          </w:p>
        </w:tc>
      </w:tr>
      <w:tr w:rsidR="005038BB" w:rsidRPr="007503DD" w:rsidTr="00BB6539">
        <w:trPr>
          <w:cnfStyle w:val="000000100000"/>
          <w:jc w:val="center"/>
        </w:trPr>
        <w:tc>
          <w:tcPr>
            <w:cnfStyle w:val="001000000000"/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11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مخرجات التعلم </w:t>
            </w:r>
          </w:p>
        </w:tc>
        <w:tc>
          <w:tcPr>
            <w:tcW w:w="1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وحداتالمساق</w:t>
            </w:r>
          </w:p>
        </w:tc>
        <w:tc>
          <w:tcPr>
            <w:tcW w:w="13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المواضيع التفصيلية</w:t>
            </w:r>
          </w:p>
        </w:tc>
        <w:tc>
          <w:tcPr>
            <w:tcW w:w="6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الساعات الفعلية</w:t>
            </w:r>
          </w:p>
        </w:tc>
      </w:tr>
      <w:tr w:rsidR="005038BB" w:rsidRPr="007503DD" w:rsidTr="00BB6539">
        <w:trPr>
          <w:cnfStyle w:val="000000010000"/>
          <w:trHeight w:val="2217"/>
          <w:jc w:val="center"/>
        </w:trPr>
        <w:tc>
          <w:tcPr>
            <w:cnfStyle w:val="001000000000"/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المفاهيم الاساسية للتربية الصحية</w:t>
            </w:r>
          </w:p>
        </w:tc>
        <w:tc>
          <w:tcPr>
            <w:tcW w:w="1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الوحدة(1و2</w:t>
            </w: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و3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3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مكونات الصحة العامة</w:t>
            </w:r>
          </w:p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الخدمات التي تقدمها الصحة العامة</w:t>
            </w:r>
          </w:p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وسائل تحقيق الصحة</w:t>
            </w:r>
          </w:p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العوامل التي تقرر الصحة في المجتمع</w:t>
            </w:r>
          </w:p>
        </w:tc>
        <w:tc>
          <w:tcPr>
            <w:tcW w:w="6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6</w:t>
            </w:r>
          </w:p>
        </w:tc>
      </w:tr>
      <w:tr w:rsidR="005038BB" w:rsidRPr="007503DD" w:rsidTr="00BB6539">
        <w:trPr>
          <w:cnfStyle w:val="000000100000"/>
          <w:jc w:val="center"/>
        </w:trPr>
        <w:tc>
          <w:tcPr>
            <w:cnfStyle w:val="001000000000"/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صحة الاسرة</w:t>
            </w:r>
          </w:p>
        </w:tc>
        <w:tc>
          <w:tcPr>
            <w:tcW w:w="1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الوحدة(4و5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3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التربية الصحية المدرسية</w:t>
            </w:r>
          </w:p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برنامج الصحة المدرسية</w:t>
            </w:r>
          </w:p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البيئة المدرسية والمبنى المدرسي</w:t>
            </w:r>
          </w:p>
        </w:tc>
        <w:tc>
          <w:tcPr>
            <w:tcW w:w="6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4</w:t>
            </w:r>
          </w:p>
        </w:tc>
      </w:tr>
      <w:tr w:rsidR="005038BB" w:rsidRPr="007503DD" w:rsidTr="00BB6539">
        <w:trPr>
          <w:cnfStyle w:val="000000010000"/>
          <w:trHeight w:val="1038"/>
          <w:jc w:val="center"/>
        </w:trPr>
        <w:tc>
          <w:tcPr>
            <w:cnfStyle w:val="001000000000"/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المناعة</w:t>
            </w:r>
          </w:p>
        </w:tc>
        <w:tc>
          <w:tcPr>
            <w:tcW w:w="1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الوحدة(6و7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3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مفهومها واقسامها</w:t>
            </w:r>
          </w:p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اللقاحات وانواعها وطرق تحضير اللقاح</w:t>
            </w:r>
          </w:p>
        </w:tc>
        <w:tc>
          <w:tcPr>
            <w:tcW w:w="6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4</w:t>
            </w:r>
          </w:p>
        </w:tc>
      </w:tr>
      <w:tr w:rsidR="005038BB" w:rsidRPr="007503DD" w:rsidTr="00BB6539">
        <w:trPr>
          <w:cnfStyle w:val="000000100000"/>
          <w:jc w:val="center"/>
        </w:trPr>
        <w:tc>
          <w:tcPr>
            <w:cnfStyle w:val="001000000000"/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التغذية</w:t>
            </w:r>
          </w:p>
        </w:tc>
        <w:tc>
          <w:tcPr>
            <w:tcW w:w="1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الوحدة(8و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9و10و11)</w:t>
            </w:r>
          </w:p>
        </w:tc>
        <w:tc>
          <w:tcPr>
            <w:tcW w:w="13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مكونات الغذاء واهميته</w:t>
            </w:r>
          </w:p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العناصر الغذائية الاساسية</w:t>
            </w:r>
          </w:p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عمليات الايض</w:t>
            </w:r>
          </w:p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امراض سوء التغذية</w:t>
            </w:r>
          </w:p>
        </w:tc>
        <w:tc>
          <w:tcPr>
            <w:tcW w:w="6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10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8</w:t>
            </w:r>
          </w:p>
        </w:tc>
      </w:tr>
      <w:tr w:rsidR="005038BB" w:rsidRPr="007503DD" w:rsidTr="00BB6539">
        <w:trPr>
          <w:cnfStyle w:val="000000010000"/>
          <w:jc w:val="center"/>
        </w:trPr>
        <w:tc>
          <w:tcPr>
            <w:cnfStyle w:val="001000000000"/>
            <w:tcW w:w="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1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الامراض الخمجية والامراض الانتقالية</w:t>
            </w:r>
          </w:p>
        </w:tc>
        <w:tc>
          <w:tcPr>
            <w:tcW w:w="10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الوحدة(12و13و14</w:t>
            </w: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و15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3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مفهوم الامراض الخمجية</w:t>
            </w:r>
          </w:p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طرق وادوار انتقالها</w:t>
            </w:r>
          </w:p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مفهوم الامراض الانتقالية</w:t>
            </w:r>
          </w:p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rtl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طرق انتقالها</w:t>
            </w:r>
          </w:p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 w:rsidRPr="007138AB">
              <w:rPr>
                <w:rFonts w:asciiTheme="minorHAnsi" w:eastAsiaTheme="minorHAnsi" w:hAnsiTheme="minorHAnsi" w:cstheme="minorBidi" w:hint="cs"/>
                <w:color w:val="000000"/>
                <w:sz w:val="22"/>
                <w:szCs w:val="22"/>
                <w:rtl/>
              </w:rPr>
              <w:t>- اعراضها وكيفية الوقاية منها</w:t>
            </w:r>
          </w:p>
        </w:tc>
        <w:tc>
          <w:tcPr>
            <w:tcW w:w="6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61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138AB" w:rsidRDefault="005038BB" w:rsidP="00BB6539">
            <w:pPr>
              <w:bidi/>
              <w:spacing w:after="200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</w:tr>
      <w:tr w:rsidR="005038BB" w:rsidRPr="007503DD" w:rsidTr="00BB6539">
        <w:trPr>
          <w:cnfStyle w:val="000000100000"/>
          <w:jc w:val="center"/>
        </w:trPr>
        <w:tc>
          <w:tcPr>
            <w:cnfStyle w:val="001000000000"/>
            <w:tcW w:w="248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lastRenderedPageBreak/>
              <w:t>إجمالي الأسابيع والساعات</w:t>
            </w:r>
          </w:p>
        </w:tc>
        <w:tc>
          <w:tcPr>
            <w:tcW w:w="13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30</w:t>
            </w:r>
          </w:p>
        </w:tc>
      </w:tr>
      <w:tr w:rsidR="005038BB" w:rsidRPr="007503DD" w:rsidTr="00BB6539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 xml:space="preserve">ثانيا:الجانب العملي:                                            </w:t>
            </w:r>
          </w:p>
        </w:tc>
      </w:tr>
      <w:tr w:rsidR="005038BB" w:rsidRPr="007503DD" w:rsidTr="00BB6539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تكتب تجارب (مواضيع) العملي</w:t>
            </w:r>
          </w:p>
        </w:tc>
      </w:tr>
      <w:tr w:rsidR="005038BB" w:rsidRPr="007503DD" w:rsidTr="00BB6539">
        <w:trPr>
          <w:cnfStyle w:val="000000010000"/>
          <w:trHeight w:val="472"/>
          <w:jc w:val="center"/>
        </w:trPr>
        <w:tc>
          <w:tcPr>
            <w:cnfStyle w:val="001000000000"/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20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التجارب المختبرية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عدد الأسابيع</w:t>
            </w: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الساعات الفعلية</w:t>
            </w: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مخرجات التعلم</w:t>
            </w:r>
          </w:p>
        </w:tc>
      </w:tr>
      <w:tr w:rsidR="005038BB" w:rsidRPr="007503DD" w:rsidTr="00BB6539">
        <w:trPr>
          <w:cnfStyle w:val="000000100000"/>
          <w:trHeight w:val="375"/>
          <w:jc w:val="center"/>
        </w:trPr>
        <w:tc>
          <w:tcPr>
            <w:cnfStyle w:val="001000000000"/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5038BB" w:rsidRPr="007503DD" w:rsidTr="00BB6539">
        <w:trPr>
          <w:cnfStyle w:val="000000010000"/>
          <w:trHeight w:val="330"/>
          <w:jc w:val="center"/>
        </w:trPr>
        <w:tc>
          <w:tcPr>
            <w:cnfStyle w:val="001000000000"/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5038BB" w:rsidRPr="007503DD" w:rsidTr="00BB6539">
        <w:trPr>
          <w:cnfStyle w:val="000000100000"/>
          <w:trHeight w:val="330"/>
          <w:jc w:val="center"/>
        </w:trPr>
        <w:tc>
          <w:tcPr>
            <w:cnfStyle w:val="001000000000"/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5038BB" w:rsidRPr="007503DD" w:rsidTr="00BB6539">
        <w:trPr>
          <w:cnfStyle w:val="000000010000"/>
          <w:trHeight w:val="330"/>
          <w:jc w:val="center"/>
        </w:trPr>
        <w:tc>
          <w:tcPr>
            <w:cnfStyle w:val="001000000000"/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5038BB" w:rsidRPr="007503DD" w:rsidTr="00BB6539">
        <w:trPr>
          <w:cnfStyle w:val="000000100000"/>
          <w:trHeight w:val="330"/>
          <w:jc w:val="center"/>
        </w:trPr>
        <w:tc>
          <w:tcPr>
            <w:cnfStyle w:val="001000000000"/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3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5038BB" w:rsidRPr="007503DD" w:rsidTr="00BB6539">
        <w:trPr>
          <w:cnfStyle w:val="000000010000"/>
          <w:trHeight w:val="330"/>
          <w:jc w:val="center"/>
        </w:trPr>
        <w:tc>
          <w:tcPr>
            <w:cnfStyle w:val="001000000000"/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5038BB" w:rsidRPr="007503DD" w:rsidTr="00BB6539">
        <w:trPr>
          <w:cnfStyle w:val="000000100000"/>
          <w:trHeight w:val="330"/>
          <w:jc w:val="center"/>
        </w:trPr>
        <w:tc>
          <w:tcPr>
            <w:cnfStyle w:val="001000000000"/>
            <w:tcW w:w="5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203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jc w:val="center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لا يوجد</w:t>
            </w:r>
          </w:p>
        </w:tc>
      </w:tr>
      <w:tr w:rsidR="005038BB" w:rsidRPr="007503DD" w:rsidTr="00BB6539">
        <w:trPr>
          <w:cnfStyle w:val="000000010000"/>
          <w:trHeight w:val="420"/>
          <w:jc w:val="center"/>
        </w:trPr>
        <w:tc>
          <w:tcPr>
            <w:cnfStyle w:val="001000000000"/>
            <w:tcW w:w="2545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إجمالي الأسابيع والساعات</w:t>
            </w:r>
          </w:p>
        </w:tc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84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</w:tbl>
    <w:p w:rsidR="005038BB" w:rsidRPr="007503DD" w:rsidRDefault="005038BB" w:rsidP="005038BB">
      <w:pPr>
        <w:bidi/>
        <w:rPr>
          <w:vanish/>
          <w:color w:val="000000"/>
          <w:sz w:val="24"/>
          <w:szCs w:val="24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5038BB" w:rsidRPr="007503DD" w:rsidTr="00BB6539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5038B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استراتيجية التدريس:</w:t>
            </w:r>
          </w:p>
        </w:tc>
      </w:tr>
      <w:tr w:rsidR="005038BB" w:rsidRPr="007503DD" w:rsidTr="00BB6539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  <w:rtl/>
                <w:lang w:bidi="ar-IQ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 xml:space="preserve">المحاضرات النظرية باستخدام اجهزة العرض </w:t>
            </w:r>
            <w:r w:rsidRPr="007503DD"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  <w:t>Data Show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 xml:space="preserve"> والمناقشات داخل الصف.</w:t>
            </w:r>
          </w:p>
        </w:tc>
      </w:tr>
      <w:tr w:rsidR="005038BB" w:rsidRPr="007503DD" w:rsidTr="00BB6539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IQ"/>
              </w:rPr>
              <w:t>استخدام السبورة لكتابة المصطلحات العلمية والمخططات</w:t>
            </w:r>
          </w:p>
        </w:tc>
      </w:tr>
      <w:tr w:rsidR="005038BB" w:rsidRPr="007503DD" w:rsidTr="00BB6539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</w:tbl>
    <w:p w:rsidR="005038BB" w:rsidRPr="007503DD" w:rsidRDefault="005038BB" w:rsidP="005038BB">
      <w:pPr>
        <w:bidi/>
        <w:rPr>
          <w:vanish/>
          <w:color w:val="000000"/>
          <w:sz w:val="24"/>
          <w:szCs w:val="24"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878"/>
      </w:tblGrid>
      <w:tr w:rsidR="005038BB" w:rsidRPr="007503DD" w:rsidTr="00BB6539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BB" w:rsidRPr="007503DD" w:rsidRDefault="005038BB" w:rsidP="005038B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مصادر التعلم:</w:t>
            </w:r>
          </w:p>
        </w:tc>
      </w:tr>
      <w:tr w:rsidR="005038BB" w:rsidRPr="007503DD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</w:rPr>
              <w:t>(المؤلف، العام، العنوان، مكان النشر والناشر)</w:t>
            </w: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المراجع الرئيسة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 xml:space="preserve">: </w:t>
            </w:r>
            <w:r w:rsidRPr="007503DD">
              <w:rPr>
                <w:rFonts w:asciiTheme="minorHAnsi" w:eastAsiaTheme="minorHAnsi" w:hAnsiTheme="minorHAnsi" w:cstheme="minorBidi" w:hint="cs"/>
                <w:b w:val="0"/>
                <w:bCs w:val="0"/>
                <w:color w:val="000000"/>
                <w:sz w:val="24"/>
                <w:szCs w:val="24"/>
                <w:rtl/>
                <w:lang w:bidi="ar-YE"/>
              </w:rPr>
              <w:t xml:space="preserve">( لا تزيد عن مرجعين) </w:t>
            </w:r>
          </w:p>
        </w:tc>
      </w:tr>
      <w:tr w:rsidR="005038BB" w:rsidRPr="007503DD" w:rsidTr="00BB6539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BB" w:rsidRPr="00874DBB" w:rsidRDefault="005038BB" w:rsidP="005038BB">
            <w:pPr>
              <w:pStyle w:val="ListParagraph"/>
              <w:numPr>
                <w:ilvl w:val="0"/>
                <w:numId w:val="7"/>
              </w:numPr>
              <w:bidi/>
              <w:rPr>
                <w:rFonts w:eastAsiaTheme="minorHAnsi"/>
                <w:color w:val="000000"/>
                <w:sz w:val="24"/>
                <w:szCs w:val="24"/>
              </w:rPr>
            </w:pPr>
            <w:r w:rsidRPr="00874DBB">
              <w:rPr>
                <w:rFonts w:eastAsiaTheme="minorHAnsi" w:hint="cs"/>
                <w:color w:val="000000"/>
                <w:sz w:val="24"/>
                <w:szCs w:val="24"/>
                <w:rtl/>
              </w:rPr>
              <w:t>فاروق النوري, تغذية الانسان</w:t>
            </w:r>
          </w:p>
          <w:p w:rsidR="005038BB" w:rsidRPr="00874DBB" w:rsidRDefault="005038BB" w:rsidP="005038BB">
            <w:pPr>
              <w:pStyle w:val="ListParagraph"/>
              <w:numPr>
                <w:ilvl w:val="0"/>
                <w:numId w:val="7"/>
              </w:numPr>
              <w:bidi/>
              <w:rPr>
                <w:rFonts w:eastAsiaTheme="minorHAnsi"/>
                <w:color w:val="000000"/>
                <w:sz w:val="24"/>
                <w:szCs w:val="24"/>
              </w:rPr>
            </w:pPr>
            <w:r w:rsidRPr="00874DBB">
              <w:rPr>
                <w:rFonts w:eastAsiaTheme="minorHAnsi" w:hint="cs"/>
                <w:color w:val="000000"/>
                <w:sz w:val="24"/>
                <w:szCs w:val="24"/>
                <w:rtl/>
              </w:rPr>
              <w:t>د. خالد عبيد باواكد, الصحة والمجتمع</w:t>
            </w: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أ.المراجع المساندة</w:t>
            </w:r>
          </w:p>
        </w:tc>
      </w:tr>
      <w:tr w:rsidR="005038BB" w:rsidRPr="007503DD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BB" w:rsidRPr="007503DD" w:rsidRDefault="005038BB" w:rsidP="005038BB">
            <w:pPr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الكتب والمراجع الاثرائية (الدوريات العلمية،...الخ):</w:t>
            </w:r>
          </w:p>
        </w:tc>
      </w:tr>
      <w:tr w:rsidR="005038BB" w:rsidRPr="007503DD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BB" w:rsidRPr="007503DD" w:rsidRDefault="005038BB" w:rsidP="005038BB">
            <w:pPr>
              <w:numPr>
                <w:ilvl w:val="0"/>
                <w:numId w:val="7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lastRenderedPageBreak/>
              <w:t>المصادر الإلكترونية ومواقع الإنترنت...الخ</w:t>
            </w:r>
          </w:p>
        </w:tc>
      </w:tr>
      <w:tr w:rsidR="005038BB" w:rsidRPr="007503DD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5038BB">
            <w:pPr>
              <w:numPr>
                <w:ilvl w:val="0"/>
                <w:numId w:val="1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سياسة المساق وضوابطه:</w:t>
            </w:r>
          </w:p>
        </w:tc>
      </w:tr>
      <w:tr w:rsidR="005038BB" w:rsidRPr="007503DD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سياسة حضور الفعاليات التعليمية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 xml:space="preserve">:  </w:t>
            </w:r>
          </w:p>
        </w:tc>
      </w:tr>
      <w:tr w:rsidR="005038BB" w:rsidRPr="007503DD" w:rsidTr="00BB6539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الحضور المتأخر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>: يتم تحديد السياسة المتبعة في حالات تكرار تأخر الطالب عن حضور الفعاليات التعليمية</w:t>
            </w: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ضوابط الامتحان</w:t>
            </w: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: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 xml:space="preserve"> تحديد السياسات المتبعة في حالات الغياب عن الامتحان و توصيف السياسة المتبعة في حالات تأخر الطالب عن الامتحان.</w:t>
            </w:r>
          </w:p>
        </w:tc>
      </w:tr>
      <w:tr w:rsidR="005038BB" w:rsidRPr="007503DD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الواجبات والمشاريع</w:t>
            </w: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bidi="ar-YE"/>
              </w:rPr>
              <w:t>: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 xml:space="preserve"> تحديد الضوابط المتعلقة بمواعيد تسليم الواجبات أو المشاريع وما يترتب على تأخير أو عدم تقديمها في مواعيدها ان وجدت</w:t>
            </w: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الغش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>: السياسة المتبعة في حالات الغش في الامتحانات أو في إنجاز الواجبات بأي وسيلة غش.</w:t>
            </w:r>
          </w:p>
        </w:tc>
      </w:tr>
      <w:tr w:rsidR="005038BB" w:rsidRPr="007503DD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10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  <w:lang w:bidi="ar-YE"/>
              </w:rPr>
              <w:t>الانتحال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5038BB" w:rsidRPr="007503DD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8BB" w:rsidRPr="007503DD" w:rsidRDefault="005038BB" w:rsidP="005038BB">
            <w:pPr>
              <w:numPr>
                <w:ilvl w:val="0"/>
                <w:numId w:val="4"/>
              </w:numPr>
              <w:bidi/>
              <w:spacing w:after="200" w:line="276" w:lineRule="auto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038BB" w:rsidRPr="007503DD" w:rsidRDefault="005038BB" w:rsidP="00BB6539">
            <w:pPr>
              <w:bidi/>
              <w:spacing w:after="200" w:line="276" w:lineRule="auto"/>
              <w:cnfStyle w:val="000000010000"/>
              <w:rPr>
                <w:rFonts w:asciiTheme="minorHAnsi" w:eastAsiaTheme="minorHAnsi" w:hAnsiTheme="minorHAnsi" w:cstheme="minorBidi"/>
                <w:color w:val="000000"/>
                <w:sz w:val="24"/>
                <w:szCs w:val="24"/>
              </w:rPr>
            </w:pPr>
            <w:r w:rsidRPr="007503DD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u w:val="single"/>
                <w:rtl/>
              </w:rPr>
              <w:t>سياسات أخرى</w:t>
            </w:r>
            <w:r w:rsidRPr="007503DD">
              <w:rPr>
                <w:rFonts w:asciiTheme="minorHAnsi" w:eastAsiaTheme="minorHAnsi" w:hAnsiTheme="minorHAnsi" w:cstheme="minorBidi" w:hint="cs"/>
                <w:color w:val="000000"/>
                <w:sz w:val="24"/>
                <w:szCs w:val="24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5038BB" w:rsidRDefault="005038BB" w:rsidP="005038BB">
      <w:pPr>
        <w:bidi/>
        <w:rPr>
          <w:color w:val="000000"/>
          <w:sz w:val="24"/>
          <w:szCs w:val="24"/>
          <w:rtl/>
        </w:rPr>
      </w:pPr>
    </w:p>
    <w:p w:rsidR="005038BB" w:rsidRDefault="005038BB" w:rsidP="005038BB">
      <w:pPr>
        <w:bidi/>
        <w:rPr>
          <w:color w:val="000000"/>
          <w:sz w:val="24"/>
          <w:szCs w:val="24"/>
          <w:rtl/>
        </w:rPr>
      </w:pPr>
    </w:p>
    <w:p w:rsidR="005038BB" w:rsidRDefault="005038BB" w:rsidP="005038BB">
      <w:pPr>
        <w:bidi/>
        <w:rPr>
          <w:color w:val="000000"/>
          <w:sz w:val="24"/>
          <w:szCs w:val="24"/>
          <w:rtl/>
        </w:rPr>
      </w:pPr>
    </w:p>
    <w:p w:rsidR="005038BB" w:rsidRDefault="005038BB" w:rsidP="005038BB">
      <w:pPr>
        <w:bidi/>
        <w:rPr>
          <w:color w:val="000000"/>
          <w:sz w:val="24"/>
          <w:szCs w:val="24"/>
          <w:rtl/>
        </w:rPr>
      </w:pPr>
    </w:p>
    <w:p w:rsidR="005038BB" w:rsidRDefault="005038BB" w:rsidP="005038BB">
      <w:pPr>
        <w:bidi/>
        <w:rPr>
          <w:color w:val="000000"/>
          <w:sz w:val="24"/>
          <w:szCs w:val="24"/>
          <w:rtl/>
        </w:rPr>
      </w:pPr>
    </w:p>
    <w:p w:rsidR="005038BB" w:rsidRDefault="005038BB" w:rsidP="005038BB">
      <w:pPr>
        <w:bidi/>
        <w:rPr>
          <w:color w:val="000000"/>
          <w:sz w:val="24"/>
          <w:szCs w:val="24"/>
          <w:rtl/>
          <w:lang w:bidi="ar-IQ"/>
        </w:rPr>
      </w:pPr>
    </w:p>
    <w:p w:rsidR="005038BB" w:rsidRDefault="005038BB" w:rsidP="005038BB">
      <w:pPr>
        <w:bidi/>
        <w:rPr>
          <w:color w:val="000000"/>
          <w:sz w:val="24"/>
          <w:szCs w:val="24"/>
          <w:rtl/>
        </w:rPr>
      </w:pPr>
    </w:p>
    <w:p w:rsidR="005038BB" w:rsidRDefault="005038BB" w:rsidP="005038BB">
      <w:pPr>
        <w:bidi/>
        <w:rPr>
          <w:color w:val="000000"/>
          <w:sz w:val="24"/>
          <w:szCs w:val="24"/>
          <w:rtl/>
        </w:rPr>
      </w:pPr>
    </w:p>
    <w:p w:rsidR="005038BB" w:rsidRDefault="005038BB" w:rsidP="005038BB">
      <w:pPr>
        <w:bidi/>
        <w:rPr>
          <w:color w:val="000000"/>
          <w:sz w:val="24"/>
          <w:szCs w:val="24"/>
          <w:rtl/>
          <w:lang w:bidi="ar-IQ"/>
        </w:rPr>
      </w:pPr>
    </w:p>
    <w:p w:rsidR="00D51BBF" w:rsidRDefault="00D51BBF"/>
    <w:sectPr w:rsidR="00D51BBF" w:rsidSect="003076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09B8"/>
    <w:multiLevelType w:val="hybridMultilevel"/>
    <w:tmpl w:val="49A24FE4"/>
    <w:lvl w:ilvl="0" w:tplc="8AC40ED4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0157E"/>
    <w:multiLevelType w:val="hybridMultilevel"/>
    <w:tmpl w:val="0ADE4056"/>
    <w:lvl w:ilvl="0" w:tplc="4B603A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7686F"/>
    <w:multiLevelType w:val="hybridMultilevel"/>
    <w:tmpl w:val="F9A26046"/>
    <w:lvl w:ilvl="0" w:tplc="9942E3B4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038BB"/>
    <w:rsid w:val="000C583B"/>
    <w:rsid w:val="003076FD"/>
    <w:rsid w:val="005038BB"/>
    <w:rsid w:val="00A060B4"/>
    <w:rsid w:val="00BD6B3A"/>
    <w:rsid w:val="00C141E1"/>
    <w:rsid w:val="00D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5038B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503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2015-05-30T23:10:00Z</dcterms:created>
  <dcterms:modified xsi:type="dcterms:W3CDTF">2015-05-30T23:19:00Z</dcterms:modified>
</cp:coreProperties>
</file>