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0C" w:rsidRPr="00A33F81" w:rsidRDefault="003F0B0C" w:rsidP="003F0B0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الاولى/ الكورس الثاني/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الرسم الهندسي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</w:p>
    <w:tbl>
      <w:tblPr>
        <w:tblStyle w:val="LightGrid-Accent1"/>
        <w:bidiVisual/>
        <w:tblW w:w="5000" w:type="pct"/>
        <w:jc w:val="center"/>
        <w:tblLook w:val="04A0"/>
      </w:tblPr>
      <w:tblGrid>
        <w:gridCol w:w="532"/>
        <w:gridCol w:w="3842"/>
        <w:gridCol w:w="770"/>
        <w:gridCol w:w="741"/>
        <w:gridCol w:w="721"/>
        <w:gridCol w:w="825"/>
        <w:gridCol w:w="1091"/>
      </w:tblGrid>
      <w:tr w:rsidR="003F0B0C" w:rsidTr="002704CA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3F0B0C" w:rsidRDefault="003F0B0C" w:rsidP="003F0B0C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0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الرسم الهندسي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A04B23">
              <w:rPr>
                <w:b/>
                <w:bCs/>
                <w:sz w:val="28"/>
                <w:szCs w:val="28"/>
                <w:lang w:bidi="ar-IQ"/>
              </w:rPr>
              <w:t>5211312</w:t>
            </w:r>
            <w:r>
              <w:rPr>
                <w:b/>
                <w:bCs/>
                <w:sz w:val="28"/>
                <w:szCs w:val="28"/>
                <w:lang w:bidi="ar-IQ"/>
              </w:rPr>
              <w:t>17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0C" w:rsidRDefault="003F0B0C" w:rsidP="002704CA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0C" w:rsidRDefault="003F0B0C" w:rsidP="002704C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الأولى الكورس الثاني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586685" w:rsidRDefault="003F0B0C" w:rsidP="002704C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في فن الرسم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586685" w:rsidRDefault="003F0B0C" w:rsidP="002704C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586685" w:rsidRDefault="003F0B0C" w:rsidP="002704C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586685" w:rsidRDefault="003F0B0C" w:rsidP="002704C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586685" w:rsidRDefault="003F0B0C" w:rsidP="002704C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586685" w:rsidRDefault="003F0B0C" w:rsidP="002704C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م.د. صلاح الدين قادر احمد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586685" w:rsidRDefault="003F0B0C" w:rsidP="002704C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3F0B0C" w:rsidRDefault="003F0B0C" w:rsidP="003F0B0C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3F0B0C" w:rsidRDefault="003F0B0C" w:rsidP="002704CA">
            <w:pPr>
              <w:keepNext/>
              <w:bidi/>
              <w:outlineLvl w:val="2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</w:p>
          <w:p w:rsidR="003F0B0C" w:rsidRDefault="003F0B0C" w:rsidP="002704CA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يعرف الطالب معنى الرسم الهندسي لانه يعتبر لغه التفاهم بين المهندسين والفنين والعمال ويتضمن المساق قسمين الاول الرسم الهندسي  والثاني الرسم الصناعي  وتعتمد أسس الرسم على المواصفات العالميه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ar-IQ"/>
              </w:rPr>
              <w:t>iso</w:t>
            </w:r>
            <w:proofErr w:type="spellEnd"/>
          </w:p>
          <w:p w:rsidR="003F0B0C" w:rsidRDefault="003F0B0C" w:rsidP="002704CA">
            <w:pPr>
              <w:keepNext/>
              <w:bidi/>
              <w:outlineLvl w:val="2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3F0B0C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066454" w:rsidRDefault="003F0B0C" w:rsidP="002704CA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bookmarkStart w:id="2" w:name="_Toc399617526"/>
            <w:bookmarkEnd w:id="2"/>
          </w:p>
          <w:p w:rsidR="003F0B0C" w:rsidRPr="00066454" w:rsidRDefault="003F0B0C" w:rsidP="002704CA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06645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تنميه قابلية الطالب في التصور واكسابه المهاره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06645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اليدويه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06645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اللازمه للرسم والتي يمكن الطالب عند تخرجه من الجامعه في أداره الاً قسام الهندسيه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06645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والتصميميه في دوائر ومؤسسات الدوله فضلا ًعن أداره المكاتب الأستشاريه والورش الفنيه وذلك لحاجه الانسان والمجتمع في جميع المجالات المنزليه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06645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والفنيه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06645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والتكنلوجيه الى القياسات والرسوم الهندسيه</w:t>
            </w:r>
          </w:p>
        </w:tc>
      </w:tr>
    </w:tbl>
    <w:p w:rsidR="003F0B0C" w:rsidRDefault="003F0B0C" w:rsidP="003F0B0C">
      <w:pPr>
        <w:bidi/>
        <w:rPr>
          <w:vanish/>
        </w:rPr>
      </w:pPr>
    </w:p>
    <w:p w:rsidR="003F0B0C" w:rsidRDefault="003F0B0C" w:rsidP="003F0B0C">
      <w:pPr>
        <w:bidi/>
      </w:pPr>
      <w:bookmarkStart w:id="3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44"/>
        <w:gridCol w:w="3067"/>
        <w:gridCol w:w="126"/>
        <w:gridCol w:w="909"/>
        <w:gridCol w:w="321"/>
        <w:gridCol w:w="936"/>
        <w:gridCol w:w="658"/>
        <w:gridCol w:w="425"/>
        <w:gridCol w:w="10"/>
        <w:gridCol w:w="1099"/>
      </w:tblGrid>
      <w:tr w:rsidR="003F0B0C" w:rsidTr="002704CA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Pr="00EE2BBF" w:rsidRDefault="003F0B0C" w:rsidP="003F0B0C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المساق ومواءمتها بمخرجات التعلم</w:t>
            </w:r>
            <w:bookmarkEnd w:id="3"/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0C" w:rsidRDefault="003F0B0C" w:rsidP="002704C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0C" w:rsidRDefault="003F0B0C" w:rsidP="002704C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0C" w:rsidRDefault="003F0B0C" w:rsidP="002704C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0C" w:rsidRDefault="003F0B0C" w:rsidP="002704C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0C" w:rsidRDefault="003F0B0C" w:rsidP="002704C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F0B0C" w:rsidRDefault="003F0B0C" w:rsidP="002704CA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تعريف الرسم الهندسي وادوات الرسم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9B5F6D" w:rsidRDefault="003F0B0C" w:rsidP="002704CA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طريقة رسم مثلث داخل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دائرة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خماسي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سداسي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3F0B0C" w:rsidRPr="009B5F6D" w:rsidRDefault="003F0B0C" w:rsidP="002704CA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طريقة تنصيف مستقيم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55291A" w:rsidRDefault="003F0B0C" w:rsidP="002704C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9B5F6D" w:rsidRDefault="003F0B0C" w:rsidP="002704CA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طريقة تنصيف مستقيم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9B5F6D" w:rsidRDefault="003F0B0C" w:rsidP="002704CA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طريقة تنصيف قطعة منحنية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9B5F6D" w:rsidRDefault="003F0B0C" w:rsidP="002704CA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طريقة تنصيف قطعة منحنية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3F0B0C" w:rsidRPr="00F72C25" w:rsidRDefault="003F0B0C" w:rsidP="002704CA">
            <w:pPr>
              <w:bidi/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طريقة رسم مربع ومثمن داخل دائرة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9B5F6D" w:rsidRDefault="003F0B0C" w:rsidP="002704CA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الاسقاط ( المنظور المركزي )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3F0B0C" w:rsidTr="002704CA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F0B0C" w:rsidRPr="00F72C25" w:rsidRDefault="003F0B0C" w:rsidP="002704CA">
            <w:pPr>
              <w:bidi/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F72C25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الاسقاط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0C7660" w:rsidRDefault="003F0B0C" w:rsidP="002704C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9B5F6D" w:rsidRDefault="003F0B0C" w:rsidP="002704CA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الاسقاط (   المنظور المتوازي )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0C7660" w:rsidRDefault="003F0B0C" w:rsidP="002704C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0C7660" w:rsidRDefault="003F0B0C" w:rsidP="002704C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3F0B0C" w:rsidTr="002704CA">
        <w:trPr>
          <w:cnfStyle w:val="00000010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</w:tr>
      <w:tr w:rsidR="003F0B0C" w:rsidTr="002704CA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ثانيا:الجانب العملي:                                            </w:t>
            </w:r>
          </w:p>
        </w:tc>
      </w:tr>
      <w:tr w:rsidR="003F0B0C" w:rsidTr="002704CA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3F0B0C" w:rsidTr="002704CA">
        <w:trPr>
          <w:cnfStyle w:val="00000001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0C" w:rsidRDefault="003F0B0C" w:rsidP="002704C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3F0B0C" w:rsidRDefault="003F0B0C" w:rsidP="002704CA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0C" w:rsidRDefault="003F0B0C" w:rsidP="002704CA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3F0B0C" w:rsidRDefault="003F0B0C" w:rsidP="002704CA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0C" w:rsidRDefault="003F0B0C" w:rsidP="002704CA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3F0B0C" w:rsidTr="002704CA">
        <w:trPr>
          <w:cnfStyle w:val="00000010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</w:rPr>
              <w:t>رسوم هندسية</w:t>
            </w:r>
          </w:p>
        </w:tc>
      </w:tr>
      <w:tr w:rsidR="003F0B0C" w:rsidTr="002704CA">
        <w:trPr>
          <w:cnfStyle w:val="00000001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2704CA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</w:rPr>
              <w:t>رسوم هندسية</w:t>
            </w:r>
          </w:p>
        </w:tc>
      </w:tr>
    </w:tbl>
    <w:p w:rsidR="003F0B0C" w:rsidRDefault="003F0B0C" w:rsidP="003F0B0C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3F0B0C" w:rsidTr="002704CA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3F0B0C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3F0B0C" w:rsidTr="002704CA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F72C25" w:rsidRDefault="003F0B0C" w:rsidP="003F0B0C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3F0B0C" w:rsidTr="002704CA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1C271B" w:rsidRDefault="003F0B0C" w:rsidP="003F0B0C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 w:rsidRPr="001C271B"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النمذجة</w:t>
            </w:r>
          </w:p>
        </w:tc>
      </w:tr>
      <w:tr w:rsidR="003F0B0C" w:rsidTr="002704CA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Pr="00F72C25" w:rsidRDefault="003F0B0C" w:rsidP="003F0B0C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</w:rPr>
              <w:t>التعلم بالعمل</w:t>
            </w:r>
          </w:p>
        </w:tc>
      </w:tr>
    </w:tbl>
    <w:p w:rsidR="003F0B0C" w:rsidRDefault="003F0B0C" w:rsidP="003F0B0C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878"/>
      </w:tblGrid>
      <w:tr w:rsidR="003F0B0C" w:rsidTr="002704CA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0C" w:rsidRDefault="003F0B0C" w:rsidP="003F0B0C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</w:p>
        </w:tc>
      </w:tr>
      <w:tr w:rsidR="003F0B0C" w:rsidTr="002704C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0C" w:rsidRDefault="003F0B0C" w:rsidP="002704C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3F0B0C" w:rsidTr="002704C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0C" w:rsidRDefault="003F0B0C" w:rsidP="003F0B0C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3F0B0C" w:rsidTr="002704CA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0C" w:rsidRDefault="003F0B0C" w:rsidP="002704CA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علم عناصر الفن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  <w:r>
              <w:rPr>
                <w:rFonts w:ascii="Times New Roman" w:hAnsi="Times New Roman"/>
                <w:rtl/>
              </w:rPr>
              <w:t>–</w:t>
            </w:r>
            <w:r>
              <w:rPr>
                <w:rFonts w:ascii="Times New Roman" w:hAnsi="Times New Roman" w:hint="cs"/>
                <w:rtl/>
              </w:rPr>
              <w:t xml:space="preserve"> فرج عبو</w:t>
            </w:r>
          </w:p>
        </w:tc>
      </w:tr>
      <w:tr w:rsidR="003F0B0C" w:rsidTr="002704C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0C" w:rsidRDefault="003F0B0C" w:rsidP="003F0B0C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3F0B0C" w:rsidTr="002704C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0C" w:rsidRDefault="003F0B0C" w:rsidP="002704CA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المنظور المتساقط</w:t>
            </w:r>
          </w:p>
        </w:tc>
      </w:tr>
      <w:tr w:rsidR="003F0B0C" w:rsidTr="002704C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0C" w:rsidRDefault="003F0B0C" w:rsidP="003F0B0C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3F0B0C" w:rsidTr="002704C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0C" w:rsidRDefault="003F0B0C" w:rsidP="002704CA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لايوجد</w:t>
            </w:r>
          </w:p>
        </w:tc>
      </w:tr>
      <w:tr w:rsidR="003F0B0C" w:rsidTr="002704C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0C" w:rsidRDefault="003F0B0C" w:rsidP="003F0B0C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3F0B0C" w:rsidTr="002704C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0C" w:rsidRDefault="003F0B0C" w:rsidP="002704CA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مواقع النت التي تعنى بمهارات الرسم الهندسي</w:t>
            </w:r>
          </w:p>
        </w:tc>
      </w:tr>
      <w:tr w:rsidR="003F0B0C" w:rsidTr="002704C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3F0B0C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3F0B0C" w:rsidTr="002704C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3F0B0C" w:rsidTr="002704C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3F0B0C" w:rsidTr="002704CA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الحضور المتأخر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يتم تحديد السياسة المتبعة في حالات تكرار تأخر الطالب عن حضور الفعاليات التعليمية</w:t>
            </w:r>
          </w:p>
        </w:tc>
      </w:tr>
      <w:tr w:rsidR="003F0B0C" w:rsidTr="002704C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الامتحان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تحديد السياسات المتبعة في حالات الغياب عن الامتحان و توصيف السياسة المتبعة في حالات تأخر الطالب عن الامتحان.</w:t>
            </w:r>
          </w:p>
        </w:tc>
      </w:tr>
      <w:tr w:rsidR="003F0B0C" w:rsidTr="002704CA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u w:val="single"/>
                <w:rtl/>
                <w:lang w:bidi="ar-YE"/>
              </w:rPr>
              <w:t>والمشاريع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تحديد الضوابط المتعلقة بمواعيد تسليم الواجبات أو المشاريع وما يترتب على تأخير أو عدم تقديمها في مواعيدها ان وجدت</w:t>
            </w:r>
          </w:p>
        </w:tc>
      </w:tr>
      <w:tr w:rsidR="003F0B0C" w:rsidTr="002704C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السياسة المتبعة في حالات الغش في الامتحانات أو في إنجاز الواجبات بأي وسيلة غش.</w:t>
            </w:r>
          </w:p>
        </w:tc>
      </w:tr>
      <w:tr w:rsidR="003F0B0C" w:rsidTr="002704CA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3F0B0C" w:rsidTr="002704C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B0C" w:rsidRDefault="003F0B0C" w:rsidP="003F0B0C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0B0C" w:rsidRDefault="003F0B0C" w:rsidP="002704C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3F0B0C" w:rsidRDefault="003F0B0C" w:rsidP="003F0B0C">
      <w:pPr>
        <w:bidi/>
        <w:jc w:val="right"/>
        <w:rPr>
          <w:color w:val="000000"/>
          <w:sz w:val="14"/>
          <w:szCs w:val="14"/>
          <w:rtl/>
        </w:rPr>
      </w:pPr>
    </w:p>
    <w:p w:rsidR="00CC696A" w:rsidRDefault="00CC696A"/>
    <w:sectPr w:rsidR="00CC696A" w:rsidSect="003076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E44B7"/>
    <w:multiLevelType w:val="hybridMultilevel"/>
    <w:tmpl w:val="1C148984"/>
    <w:lvl w:ilvl="0" w:tplc="7416043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F0B0C"/>
    <w:rsid w:val="003076FD"/>
    <w:rsid w:val="003F0B0C"/>
    <w:rsid w:val="00CC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3F0B0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3F0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2015-05-31T18:57:00Z</dcterms:created>
  <dcterms:modified xsi:type="dcterms:W3CDTF">2015-05-31T18:57:00Z</dcterms:modified>
</cp:coreProperties>
</file>