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1D" w:rsidRDefault="00742C1D" w:rsidP="00742C1D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الاول/ طرائق التدريس العامة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p w:rsidR="00742C1D" w:rsidRPr="00A33F81" w:rsidRDefault="00742C1D" w:rsidP="00742C1D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742C1D" w:rsidTr="00BF779D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742C1D" w:rsidRDefault="00742C1D" w:rsidP="00BF779D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طرائق التدريس العامة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ED3AF5">
              <w:rPr>
                <w:b/>
                <w:bCs/>
                <w:sz w:val="28"/>
                <w:szCs w:val="28"/>
                <w:lang w:bidi="ar-IQ"/>
              </w:rPr>
              <w:t>5211331</w:t>
            </w:r>
            <w:r>
              <w:rPr>
                <w:b/>
                <w:bCs/>
                <w:sz w:val="28"/>
                <w:szCs w:val="28"/>
                <w:lang w:bidi="ar-IQ"/>
              </w:rPr>
              <w:t>34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الثالثة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الخامس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Cs w:val="32"/>
                <w:rtl/>
                <w:lang w:bidi="ar-YE"/>
              </w:rPr>
              <w:t>اسس في طرائق التدريس العامة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تطبيقات عملي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م.مروج منذر محمد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586685" w:rsidRDefault="00742C1D" w:rsidP="00BF779D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742C1D" w:rsidRPr="00A62F38" w:rsidRDefault="00742C1D" w:rsidP="00BF779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742C1D" w:rsidRDefault="00742C1D" w:rsidP="00BF779D">
            <w:pPr>
              <w:bidi/>
              <w:ind w:right="-1276"/>
              <w:rPr>
                <w:rFonts w:hint="cs"/>
                <w:sz w:val="24"/>
                <w:szCs w:val="24"/>
                <w:rtl/>
                <w:lang w:bidi="ar-IQ"/>
              </w:rPr>
            </w:pPr>
            <w:r w:rsidRPr="00CE0B53">
              <w:rPr>
                <w:rFonts w:hint="cs"/>
                <w:sz w:val="24"/>
                <w:szCs w:val="24"/>
                <w:rtl/>
                <w:lang w:bidi="ar-IQ"/>
              </w:rPr>
              <w:t>تقدم هذه المادة مجموعة الطرائق والاساليب التعليمية من خلال عرض نخبة من الطرائق والمستحدثات التربويةالتي تهتم بتنمية</w:t>
            </w:r>
          </w:p>
          <w:p w:rsidR="00742C1D" w:rsidRPr="00797ADF" w:rsidRDefault="00742C1D" w:rsidP="00BF779D">
            <w:pPr>
              <w:bidi/>
              <w:ind w:right="-1276"/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E0B53">
              <w:rPr>
                <w:rFonts w:hint="cs"/>
                <w:sz w:val="24"/>
                <w:szCs w:val="24"/>
                <w:rtl/>
                <w:lang w:bidi="ar-IQ"/>
              </w:rPr>
              <w:t xml:space="preserve"> قدرات الطلبة على تفعيل المواقف التعليمية . 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42C1D" w:rsidTr="00BF779D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A62F38" w:rsidRDefault="00742C1D" w:rsidP="00BF779D">
            <w:pPr>
              <w:keepNext/>
              <w:bidi/>
              <w:outlineLvl w:val="2"/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</w:pPr>
            <w:bookmarkStart w:id="3" w:name="_Toc399617526"/>
            <w:bookmarkEnd w:id="3"/>
            <w:r w:rsidRPr="00A62F38">
              <w:rPr>
                <w:rFonts w:ascii="Times New Roman" w:hAnsi="Times New Roman"/>
                <w:sz w:val="24"/>
                <w:szCs w:val="24"/>
                <w:rtl/>
              </w:rPr>
              <w:t xml:space="preserve">يهدف المساق 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الى :</w:t>
            </w:r>
          </w:p>
          <w:p w:rsidR="00742C1D" w:rsidRDefault="00742C1D" w:rsidP="00742C1D">
            <w:pPr>
              <w:pStyle w:val="ListParagraph"/>
              <w:numPr>
                <w:ilvl w:val="0"/>
                <w:numId w:val="8"/>
              </w:numPr>
              <w:bidi/>
              <w:ind w:right="-1276"/>
              <w:jc w:val="both"/>
              <w:rPr>
                <w:rFonts w:hint="cs"/>
                <w:b w:val="0"/>
                <w:bCs w:val="0"/>
                <w:sz w:val="24"/>
                <w:szCs w:val="24"/>
                <w:lang w:bidi="ar-IQ"/>
              </w:rPr>
            </w:pPr>
            <w:r w:rsidRPr="00797ADF">
              <w:rPr>
                <w:rFonts w:hint="cs"/>
                <w:sz w:val="24"/>
                <w:szCs w:val="24"/>
                <w:rtl/>
                <w:lang w:bidi="ar-IQ"/>
              </w:rPr>
              <w:t xml:space="preserve">تحديد المصطلحات والمفاهيم الاساسية في مادة طرائق التدريس العامة </w:t>
            </w:r>
          </w:p>
          <w:p w:rsidR="00742C1D" w:rsidRPr="00797ADF" w:rsidRDefault="00742C1D" w:rsidP="00742C1D">
            <w:pPr>
              <w:pStyle w:val="ListParagraph"/>
              <w:numPr>
                <w:ilvl w:val="0"/>
                <w:numId w:val="8"/>
              </w:numPr>
              <w:bidi/>
              <w:ind w:right="-1276"/>
              <w:jc w:val="both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797ADF">
              <w:rPr>
                <w:rFonts w:hint="cs"/>
                <w:sz w:val="24"/>
                <w:szCs w:val="24"/>
                <w:rtl/>
                <w:lang w:bidi="ar-IQ"/>
              </w:rPr>
              <w:t>دراسة الطرائق المستعملة في المواقف التعليمية</w:t>
            </w:r>
          </w:p>
        </w:tc>
      </w:tr>
    </w:tbl>
    <w:p w:rsidR="00742C1D" w:rsidRDefault="00742C1D" w:rsidP="00742C1D">
      <w:pPr>
        <w:bidi/>
        <w:rPr>
          <w:vanish/>
        </w:rPr>
      </w:pPr>
    </w:p>
    <w:p w:rsidR="00742C1D" w:rsidRDefault="00742C1D" w:rsidP="00742C1D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742C1D" w:rsidTr="00BF779D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EE2BBF" w:rsidRDefault="00742C1D" w:rsidP="00BF779D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42C1D" w:rsidRPr="004C7F3A" w:rsidRDefault="00742C1D" w:rsidP="00BF779D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Pr="00F46878" w:rsidRDefault="00742C1D" w:rsidP="00BF779D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عناصر التدريس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F46878" w:rsidRDefault="00742C1D" w:rsidP="00BF779D">
            <w:pPr>
              <w:bidi/>
              <w:jc w:val="both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1-2-3-4-5-6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9B5F6D" w:rsidRDefault="00742C1D" w:rsidP="00BF779D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</w:t>
            </w: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مفهوم التدريس , اسس التدريس الجيدة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Pr="00F46878" w:rsidRDefault="00742C1D" w:rsidP="00BF779D">
            <w:pPr>
              <w:bidi/>
              <w:jc w:val="center"/>
              <w:cnfStyle w:val="00000001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Pr="0062787F" w:rsidRDefault="00742C1D" w:rsidP="00BF779D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742C1D" w:rsidRPr="00F46878" w:rsidRDefault="00742C1D" w:rsidP="00BF779D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الطرائق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F46878" w:rsidRDefault="00742C1D" w:rsidP="00BF779D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7-8-9-10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9B5F6D" w:rsidRDefault="00742C1D" w:rsidP="00BF779D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طريقة الالقاء , خطوات مزايا وسلبيات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طريقة المناقشة , خطوات ومزايا وسلبيات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-</w:t>
            </w: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طريقة الاستجواب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-</w:t>
            </w: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طريقة الاستقراء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-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Pr="00F46878" w:rsidRDefault="00742C1D" w:rsidP="00BF779D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Pr="0062787F" w:rsidRDefault="00742C1D" w:rsidP="00BF779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742C1D" w:rsidTr="00BF779D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Pr="00F46878" w:rsidRDefault="00742C1D" w:rsidP="00BF779D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الحقيبة التعليمية , تصميم الحقيبة التعليمية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F46878" w:rsidRDefault="00742C1D" w:rsidP="00BF779D">
            <w:pPr>
              <w:bidi/>
              <w:jc w:val="both"/>
              <w:cnfStyle w:val="00000001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11-12-13-14-15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9B5F6D" w:rsidRDefault="00742C1D" w:rsidP="00BF779D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B23013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الوسائل التعليمية , انواعها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Pr="00F46878" w:rsidRDefault="00742C1D" w:rsidP="00BF779D">
            <w:pPr>
              <w:bidi/>
              <w:jc w:val="center"/>
              <w:cnfStyle w:val="00000001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Default="00742C1D" w:rsidP="00BF779D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742C1D" w:rsidTr="00BF779D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7460D8" w:rsidRDefault="00742C1D" w:rsidP="00BF779D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7460D8" w:rsidRDefault="00742C1D" w:rsidP="00BF779D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742C1D" w:rsidTr="00BF779D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7460D8" w:rsidRDefault="00742C1D" w:rsidP="00BF779D">
            <w:pPr>
              <w:bidi/>
              <w:rPr>
                <w:rFonts w:ascii="Calibri" w:eastAsia="Calibri" w:hAnsi="Calibri" w:cs="Arial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742C1D" w:rsidTr="00BF779D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742C1D" w:rsidTr="00BF779D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Default="00742C1D" w:rsidP="00BF779D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2C1D" w:rsidRPr="00CC62B1" w:rsidRDefault="00742C1D" w:rsidP="00BF779D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742C1D" w:rsidTr="00BF779D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2C1D" w:rsidRPr="00ED4B7C" w:rsidRDefault="00742C1D" w:rsidP="00BF779D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9203B" w:rsidRDefault="00742C1D" w:rsidP="00BF779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9203B" w:rsidRDefault="00742C1D" w:rsidP="00BF779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CC62B1" w:rsidRDefault="00742C1D" w:rsidP="00BF779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2C1D" w:rsidTr="00BF779D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42C1D" w:rsidRPr="00ED4B7C" w:rsidRDefault="00742C1D" w:rsidP="00BF779D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9203B" w:rsidRDefault="00742C1D" w:rsidP="00BF779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9203B" w:rsidRDefault="00742C1D" w:rsidP="00BF779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CC62B1" w:rsidRDefault="00742C1D" w:rsidP="00BF779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2C1D" w:rsidTr="00BF779D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2C1D" w:rsidRDefault="00742C1D" w:rsidP="00BF779D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42C1D" w:rsidRPr="00ED4B7C" w:rsidRDefault="00742C1D" w:rsidP="00BF779D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A7B21" w:rsidRDefault="00742C1D" w:rsidP="00BF779D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42C1D" w:rsidTr="00BF779D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813131" w:rsidRDefault="00742C1D" w:rsidP="00BF779D">
            <w:pPr>
              <w:bidi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A7B21" w:rsidRDefault="00742C1D" w:rsidP="00BF779D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742C1D" w:rsidRDefault="00742C1D" w:rsidP="00742C1D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742C1D" w:rsidTr="00BF779D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742C1D" w:rsidTr="00BF779D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9203B" w:rsidRDefault="00742C1D" w:rsidP="00742C1D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742C1D" w:rsidTr="00BF779D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E9203B" w:rsidRDefault="00742C1D" w:rsidP="00742C1D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النمذجة</w:t>
            </w:r>
          </w:p>
        </w:tc>
      </w:tr>
      <w:tr w:rsidR="00742C1D" w:rsidTr="00BF779D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Pr="00103A18" w:rsidRDefault="00742C1D" w:rsidP="00742C1D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</w:p>
        </w:tc>
      </w:tr>
    </w:tbl>
    <w:p w:rsidR="00742C1D" w:rsidRDefault="00742C1D" w:rsidP="00742C1D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742C1D" w:rsidTr="00BF779D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D" w:rsidRDefault="00742C1D" w:rsidP="00BF779D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كتب في الاشغال اليدوية- مواقع الانترنيت</w:t>
            </w:r>
          </w:p>
        </w:tc>
      </w:tr>
      <w:tr w:rsidR="00742C1D" w:rsidTr="00BF779D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D" w:rsidRPr="007460D8" w:rsidRDefault="00742C1D" w:rsidP="00BF779D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D" w:rsidRPr="007460D8" w:rsidRDefault="00742C1D" w:rsidP="00BF779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المراجع الرئيسة: </w:t>
            </w:r>
            <w:r w:rsidRPr="007460D8">
              <w:rPr>
                <w:rFonts w:ascii="Times New Roman" w:hAnsi="Times New Roman" w:hint="cs"/>
                <w:rtl/>
              </w:rPr>
              <w:t xml:space="preserve">( لا تزيد عن مرجعين) </w:t>
            </w:r>
          </w:p>
        </w:tc>
      </w:tr>
      <w:tr w:rsidR="00742C1D" w:rsidTr="00BF779D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D" w:rsidRPr="00797ADF" w:rsidRDefault="00742C1D" w:rsidP="00BF779D">
            <w:pPr>
              <w:bidi/>
              <w:ind w:right="-1276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CE0B53">
              <w:rPr>
                <w:rFonts w:hint="cs"/>
                <w:sz w:val="24"/>
                <w:szCs w:val="24"/>
                <w:rtl/>
                <w:lang w:bidi="ar-IQ"/>
              </w:rPr>
              <w:t xml:space="preserve">طرائق التدريس العامة  - المالوف والمستحدث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- </w:t>
            </w:r>
            <w:r w:rsidRPr="00797ADF">
              <w:rPr>
                <w:rFonts w:hint="cs"/>
                <w:sz w:val="24"/>
                <w:szCs w:val="24"/>
                <w:rtl/>
                <w:lang w:bidi="ar-IQ"/>
              </w:rPr>
              <w:t>تاليف :- عـواد جاسم محمد التميمي</w:t>
            </w: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D" w:rsidRPr="007460D8" w:rsidRDefault="00742C1D" w:rsidP="00BF779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742C1D" w:rsidTr="00BF779D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D" w:rsidRPr="00CE0B53" w:rsidRDefault="00742C1D" w:rsidP="00BF779D">
            <w:pPr>
              <w:bidi/>
              <w:ind w:right="-1276"/>
              <w:jc w:val="both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ED4B7C">
              <w:rPr>
                <w:rFonts w:ascii="Times New Roman" w:hAnsi="Times New Roman" w:hint="cs"/>
                <w:rtl/>
              </w:rPr>
              <w:t xml:space="preserve">فن عمل الازهار </w:t>
            </w:r>
            <w:r w:rsidRPr="00CE0B53">
              <w:rPr>
                <w:rFonts w:hint="cs"/>
                <w:sz w:val="24"/>
                <w:szCs w:val="24"/>
                <w:rtl/>
                <w:lang w:bidi="ar-IQ"/>
              </w:rPr>
              <w:t>اساسيات في طرائق التدريس العامة  , د . داوود ماهر محمد ومجيد مهدي محمد , وزارة التعليم العالي ,</w:t>
            </w:r>
          </w:p>
          <w:p w:rsidR="00742C1D" w:rsidRPr="00CE0B53" w:rsidRDefault="00742C1D" w:rsidP="00BF779D">
            <w:pPr>
              <w:bidi/>
              <w:ind w:right="-1276"/>
              <w:jc w:val="both"/>
              <w:rPr>
                <w:b w:val="0"/>
                <w:bCs w:val="0"/>
                <w:sz w:val="24"/>
                <w:szCs w:val="24"/>
                <w:lang w:bidi="ar-IQ"/>
              </w:rPr>
            </w:pPr>
            <w:r w:rsidRPr="00CE0B53">
              <w:rPr>
                <w:rFonts w:hint="cs"/>
                <w:sz w:val="24"/>
                <w:szCs w:val="24"/>
                <w:rtl/>
                <w:lang w:bidi="ar-IQ"/>
              </w:rPr>
              <w:t xml:space="preserve">جامعة الموصل . </w:t>
            </w:r>
          </w:p>
          <w:p w:rsidR="00742C1D" w:rsidRDefault="00742C1D" w:rsidP="00BF779D">
            <w:pPr>
              <w:bidi/>
              <w:contextualSpacing/>
              <w:jc w:val="both"/>
              <w:rPr>
                <w:rFonts w:ascii="Times New Roman" w:hAnsi="Times New Roman"/>
                <w:rtl/>
                <w:lang w:bidi="ar-IQ"/>
              </w:rPr>
            </w:pP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D" w:rsidRPr="007460D8" w:rsidRDefault="00742C1D" w:rsidP="00BF779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742C1D" w:rsidTr="00BF779D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D" w:rsidRPr="00CE0B53" w:rsidRDefault="00742C1D" w:rsidP="00BF779D">
            <w:pPr>
              <w:bidi/>
              <w:ind w:right="-1276"/>
              <w:jc w:val="both"/>
              <w:rPr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CE0B53">
              <w:rPr>
                <w:rFonts w:hint="cs"/>
                <w:sz w:val="24"/>
                <w:szCs w:val="24"/>
                <w:rtl/>
                <w:lang w:bidi="ar-IQ"/>
              </w:rPr>
              <w:t xml:space="preserve">المناهج وطرائق التدريس  , دار دجلة  , عمـان , رحيم يونس كرور العزاوي  2009  </w:t>
            </w:r>
          </w:p>
          <w:p w:rsidR="00742C1D" w:rsidRPr="007460D8" w:rsidRDefault="00742C1D" w:rsidP="00BF779D">
            <w:pPr>
              <w:bidi/>
              <w:contextualSpacing/>
              <w:jc w:val="both"/>
              <w:rPr>
                <w:rFonts w:ascii="Times New Roman" w:hAnsi="Times New Roman"/>
                <w:rtl/>
                <w:lang w:bidi="ar-IQ"/>
              </w:rPr>
            </w:pP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1D" w:rsidRPr="007460D8" w:rsidRDefault="00742C1D" w:rsidP="00BF779D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742C1D" w:rsidTr="00BF779D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1D" w:rsidRPr="00FD1878" w:rsidRDefault="00742C1D" w:rsidP="00BF779D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proofErr w:type="spellStart"/>
            <w:r>
              <w:t>Method.Educationt</w:t>
            </w:r>
            <w:proofErr w:type="spellEnd"/>
            <w:r>
              <w:t xml:space="preserve"> .com</w:t>
            </w: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742C1D" w:rsidTr="00BF779D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E8275D" w:rsidRDefault="00742C1D" w:rsidP="00BF779D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</w:t>
            </w:r>
          </w:p>
        </w:tc>
      </w:tr>
      <w:tr w:rsidR="00742C1D" w:rsidTr="00BF779D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E8275D" w:rsidRDefault="00742C1D" w:rsidP="00BF779D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E8275D" w:rsidRDefault="00742C1D" w:rsidP="00BF779D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ضوابط الامتحان: اجراء  امتحانيين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نظري</w:t>
            </w:r>
          </w:p>
        </w:tc>
      </w:tr>
      <w:tr w:rsidR="00742C1D" w:rsidTr="00BF779D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E8275D" w:rsidRDefault="00742C1D" w:rsidP="00BF779D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 في اوقاتها المحددة.</w:t>
            </w: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Pr="00E8275D" w:rsidRDefault="00742C1D" w:rsidP="00BF779D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742C1D" w:rsidTr="00BF779D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742C1D" w:rsidTr="00BF779D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2C1D" w:rsidRDefault="00742C1D" w:rsidP="00BF779D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42C1D" w:rsidRDefault="00742C1D" w:rsidP="00BF779D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742C1D" w:rsidRDefault="00742C1D" w:rsidP="00742C1D">
      <w:pPr>
        <w:bidi/>
        <w:jc w:val="right"/>
        <w:rPr>
          <w:color w:val="000000"/>
          <w:sz w:val="14"/>
          <w:szCs w:val="14"/>
          <w:rtl/>
        </w:rPr>
      </w:pPr>
    </w:p>
    <w:p w:rsidR="00742C1D" w:rsidRDefault="00742C1D" w:rsidP="00742C1D">
      <w:pPr>
        <w:bidi/>
        <w:rPr>
          <w:rFonts w:hint="cs"/>
          <w:color w:val="000000"/>
          <w:sz w:val="14"/>
          <w:szCs w:val="14"/>
          <w:lang w:bidi="ar-IQ"/>
        </w:rPr>
      </w:pPr>
    </w:p>
    <w:p w:rsidR="00742C1D" w:rsidRDefault="00742C1D" w:rsidP="00742C1D"/>
    <w:p w:rsidR="00742C1D" w:rsidRPr="00586685" w:rsidRDefault="00742C1D" w:rsidP="00742C1D">
      <w:pPr>
        <w:bidi/>
        <w:rPr>
          <w:rFonts w:hint="cs"/>
          <w:color w:val="000000"/>
          <w:sz w:val="14"/>
          <w:szCs w:val="14"/>
          <w:lang w:bidi="ar-IQ"/>
        </w:rPr>
      </w:pPr>
    </w:p>
    <w:p w:rsidR="00742C1D" w:rsidRDefault="00742C1D" w:rsidP="00742C1D"/>
    <w:p w:rsidR="00742C1D" w:rsidRPr="00F01405" w:rsidRDefault="00742C1D" w:rsidP="00742C1D">
      <w:pPr>
        <w:bidi/>
        <w:rPr>
          <w:rFonts w:hint="cs"/>
          <w:color w:val="000000"/>
          <w:sz w:val="14"/>
          <w:szCs w:val="14"/>
          <w:lang w:bidi="ar-IQ"/>
        </w:rPr>
      </w:pPr>
    </w:p>
    <w:p w:rsidR="00742C1D" w:rsidRDefault="00742C1D" w:rsidP="00742C1D"/>
    <w:p w:rsidR="00E1317D" w:rsidRDefault="00E1317D"/>
    <w:sectPr w:rsidR="00E1317D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C0B35"/>
    <w:multiLevelType w:val="hybridMultilevel"/>
    <w:tmpl w:val="B0206706"/>
    <w:lvl w:ilvl="0" w:tplc="4EB25D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42C1D"/>
    <w:rsid w:val="003076FD"/>
    <w:rsid w:val="00742C1D"/>
    <w:rsid w:val="00E1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742C1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42C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2015-05-25T20:01:00Z</dcterms:created>
  <dcterms:modified xsi:type="dcterms:W3CDTF">2015-05-25T20:01:00Z</dcterms:modified>
</cp:coreProperties>
</file>