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7" w:rsidRDefault="00A952C7" w:rsidP="00A952C7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علم النفس التربوي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-11"/>
        <w:bidiVisual/>
        <w:tblW w:w="5000" w:type="pct"/>
        <w:jc w:val="center"/>
        <w:tblLook w:val="04A0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A952C7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A952C7" w:rsidRDefault="00A952C7" w:rsidP="00A952C7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                                                  )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علم النفس التربوي 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المرحلة الثانيه (فصل دراسي ) 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مساقات تربوية اخرى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مساقات او خبرات متزامنه مع دراسة المساق 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بكالوريوس التربيه الأسريه والمهن الفنيه               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اللغة العربية 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كلية التربية الأساسية / قسم التربية الأسرية والمهن الفنيه 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8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م.م هبه رعد عبد اللله 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586685" w:rsidRDefault="00A952C7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A952C7" w:rsidRDefault="00A952C7" w:rsidP="00A952C7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A952C7" w:rsidRDefault="00A952C7" w:rsidP="00BB6539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 xml:space="preserve">إن مادة علم النفس التربوي تعمل على تزويد المتعلمين بعلومات عن أهم نظريات علم النفس التربوي وتاثرها على المتعلمين . 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A952C7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</w:pPr>
          </w:p>
          <w:p w:rsidR="00A952C7" w:rsidRPr="00B85831" w:rsidRDefault="00A952C7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r w:rsidRPr="00B85831"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1- إكتساب المفاهيم الخاصه بمفهومعلم النفس التربوي .</w:t>
            </w:r>
          </w:p>
          <w:p w:rsidR="00A952C7" w:rsidRPr="00B85831" w:rsidRDefault="00A952C7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r w:rsidRPr="00B85831"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2- تسمح للمتعلم أن يعرف معنى علم النفس ويطبقه في حياته العمليه .</w:t>
            </w:r>
          </w:p>
          <w:p w:rsidR="00A952C7" w:rsidRPr="00B85831" w:rsidRDefault="00A952C7" w:rsidP="00BB6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</w:p>
        </w:tc>
      </w:tr>
    </w:tbl>
    <w:p w:rsidR="00A952C7" w:rsidRDefault="00A952C7" w:rsidP="00A952C7">
      <w:pPr>
        <w:bidi/>
        <w:rPr>
          <w:vanish/>
        </w:rPr>
      </w:pPr>
    </w:p>
    <w:p w:rsidR="00A952C7" w:rsidRDefault="00A952C7" w:rsidP="00A952C7">
      <w:pPr>
        <w:bidi/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44"/>
        <w:gridCol w:w="3067"/>
        <w:gridCol w:w="126"/>
        <w:gridCol w:w="909"/>
        <w:gridCol w:w="321"/>
        <w:gridCol w:w="936"/>
        <w:gridCol w:w="658"/>
        <w:gridCol w:w="425"/>
        <w:gridCol w:w="10"/>
        <w:gridCol w:w="1099"/>
      </w:tblGrid>
      <w:tr w:rsidR="00A952C7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Pr="00EE2BBF" w:rsidRDefault="00A952C7" w:rsidP="00A952C7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52C7" w:rsidRDefault="00A952C7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معنى علم النفس بمفهومه العام واهدافه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معنى علم النفس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A952C7" w:rsidRPr="003C6033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اهم نظريات علم النفس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55291A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نظريات علم النفس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أهم العلماء العرب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العلماء العرب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A952C7" w:rsidRPr="003C6033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اهم العلماء الغرب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العلماء الغرب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A952C7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 w:hint="cs"/>
                <w:sz w:val="24"/>
                <w:szCs w:val="24"/>
                <w:lang w:bidi="ar-IQ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952C7" w:rsidRPr="003C6033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اهم علماء النفس العرب المسلمين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0C7660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B85831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583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علماء النفس العرب المسلمين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0C7660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0C7660" w:rsidRDefault="00A952C7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952C7" w:rsidTr="00BB6539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40</w:t>
            </w:r>
          </w:p>
        </w:tc>
      </w:tr>
      <w:tr w:rsidR="00A952C7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A952C7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تكتب تجارب (مواضيع) العملي</w:t>
            </w:r>
          </w:p>
        </w:tc>
      </w:tr>
      <w:tr w:rsidR="00A952C7" w:rsidTr="00BB6539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A952C7" w:rsidRDefault="00A952C7" w:rsidP="00BB6539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52C7" w:rsidRDefault="00A952C7" w:rsidP="00BB6539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A952C7" w:rsidTr="00BB6539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52C7" w:rsidTr="00BB6539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52C7" w:rsidRDefault="00A952C7" w:rsidP="00A952C7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A952C7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A952C7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</w:p>
        </w:tc>
      </w:tr>
      <w:tr w:rsidR="00A952C7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rPr>
                <w:rFonts w:ascii="Times New Roman" w:hAnsi="Times New Roman"/>
                <w:b w:val="0"/>
                <w:bCs w:val="0"/>
                <w:color w:val="0000CC"/>
                <w:sz w:val="18"/>
                <w:szCs w:val="1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color w:val="0000CC"/>
                <w:sz w:val="18"/>
                <w:szCs w:val="18"/>
                <w:rtl/>
                <w:lang w:bidi="ar-IQ"/>
              </w:rPr>
              <w:t xml:space="preserve">يتم الاعتماد على المراجع الرئسيه في الماده </w:t>
            </w:r>
          </w:p>
        </w:tc>
      </w:tr>
      <w:tr w:rsidR="00A952C7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rPr>
                <w:rFonts w:ascii="Times New Roman" w:hAnsi="Times New Roman"/>
                <w:color w:val="0000CC"/>
                <w:sz w:val="18"/>
                <w:szCs w:val="1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18"/>
                <w:szCs w:val="18"/>
                <w:rtl/>
                <w:lang w:bidi="ar-IQ"/>
              </w:rPr>
              <w:t>الاستعانه بتقنيات ووسائل التعلم الحديثه</w:t>
            </w:r>
          </w:p>
        </w:tc>
      </w:tr>
      <w:tr w:rsidR="00A952C7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Pr="003C6033" w:rsidRDefault="00A952C7" w:rsidP="00BB6539">
            <w:pPr>
              <w:bidi/>
              <w:rPr>
                <w:rFonts w:ascii="Times New Roman" w:hAnsi="Times New Roman"/>
                <w:color w:val="0000CC"/>
                <w:sz w:val="18"/>
                <w:szCs w:val="18"/>
              </w:rPr>
            </w:pPr>
            <w:r>
              <w:rPr>
                <w:rFonts w:ascii="Times New Roman" w:hAnsi="Times New Roman" w:hint="cs"/>
                <w:color w:val="0000CC"/>
                <w:sz w:val="18"/>
                <w:szCs w:val="18"/>
                <w:rtl/>
              </w:rPr>
              <w:t xml:space="preserve">تهيئة نشاطات صفيه ولا صفيه يقوم بها المتعلم </w:t>
            </w:r>
          </w:p>
        </w:tc>
      </w:tr>
    </w:tbl>
    <w:p w:rsidR="00A952C7" w:rsidRDefault="00A952C7" w:rsidP="00A952C7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A952C7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7" w:rsidRDefault="00A952C7" w:rsidP="00A952C7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7" w:rsidRDefault="00A952C7" w:rsidP="00BB653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7" w:rsidRDefault="00A952C7" w:rsidP="00A952C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A952C7" w:rsidTr="00BB6539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7" w:rsidRDefault="00A952C7" w:rsidP="00BB6539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أ.د كريم ناصر ( مباديء التعليم الاساسي ) 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7" w:rsidRDefault="00A952C7" w:rsidP="00A952C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7" w:rsidRDefault="00A952C7" w:rsidP="00BB6539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قطامي ، يوسف (1989) سيكلوجية التعليم والتعلم الصفي ،دار الشروق ، عمان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7" w:rsidRDefault="00A952C7" w:rsidP="00A952C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7" w:rsidRDefault="00A952C7" w:rsidP="00BB6539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قطامي ، يوسف (1989) سيكلوجية التعليم والتعلم الصفي ،دار الشروق ، عمان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7" w:rsidRDefault="00A952C7" w:rsidP="00A952C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7" w:rsidRDefault="00A952C7" w:rsidP="00BB6539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الاستعانه ببعض مواقع الانترنت 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A952C7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A952C7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تتخذ الاجرآت المناسبه بحق المتغيبين بحسب لوائح الجامعه 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تحديدها على وفق لوائح وضوابط الجامعه .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التعامل معها على وفق متطلبات واهداف المساق 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التعامل معها على وفق متطلبات واهداف المساق</w:t>
            </w:r>
          </w:p>
        </w:tc>
      </w:tr>
      <w:tr w:rsidR="00A952C7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التعامل معها على وفق متطلبات واهداف المساق</w:t>
            </w:r>
          </w:p>
        </w:tc>
      </w:tr>
      <w:tr w:rsidR="00A952C7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2C7" w:rsidRDefault="00A952C7" w:rsidP="00A952C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52C7" w:rsidRDefault="00A952C7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التعامل معها على وفق متطلبات واهداف المساق</w:t>
            </w:r>
          </w:p>
        </w:tc>
      </w:tr>
    </w:tbl>
    <w:p w:rsidR="00A952C7" w:rsidRDefault="00A952C7" w:rsidP="00A952C7">
      <w:pPr>
        <w:bidi/>
        <w:jc w:val="right"/>
        <w:rPr>
          <w:color w:val="000000"/>
          <w:sz w:val="14"/>
          <w:szCs w:val="14"/>
          <w:rtl/>
        </w:rPr>
      </w:pPr>
    </w:p>
    <w:p w:rsidR="00D51BBF" w:rsidRDefault="00D51BBF"/>
    <w:sectPr w:rsidR="00D51BBF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952C7"/>
    <w:rsid w:val="003076FD"/>
    <w:rsid w:val="00A952C7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-11">
    <w:name w:val="شبكة فاتحة - تمييز 11"/>
    <w:basedOn w:val="TableNormal"/>
    <w:uiPriority w:val="62"/>
    <w:rsid w:val="00A952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2015-05-31T00:15:00Z</dcterms:created>
  <dcterms:modified xsi:type="dcterms:W3CDTF">2015-05-31T00:16:00Z</dcterms:modified>
</cp:coreProperties>
</file>