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98" w:rsidRPr="00732FA4" w:rsidRDefault="00553198" w:rsidP="00553198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المحاضرة ال</w:t>
      </w:r>
      <w:r>
        <w:rPr>
          <w:rFonts w:hint="cs"/>
          <w:sz w:val="28"/>
          <w:szCs w:val="28"/>
          <w:rtl/>
          <w:lang w:bidi="ar-IQ"/>
        </w:rPr>
        <w:t>سادسة</w:t>
      </w:r>
    </w:p>
    <w:p w:rsidR="00553198" w:rsidRPr="00732FA4" w:rsidRDefault="00553198" w:rsidP="00553198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م / </w:t>
      </w:r>
      <w:r w:rsidRPr="00732FA4">
        <w:rPr>
          <w:rFonts w:hint="cs"/>
          <w:sz w:val="28"/>
          <w:szCs w:val="28"/>
          <w:rtl/>
          <w:lang w:bidi="ar-IQ"/>
        </w:rPr>
        <w:t xml:space="preserve">العلاقة بين القانون الدولي والقانون الداخلي </w:t>
      </w:r>
    </w:p>
    <w:p w:rsidR="00553198" w:rsidRPr="00732FA4" w:rsidRDefault="00553198" w:rsidP="00553198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نظرية ازدواج القانونين  </w:t>
      </w:r>
    </w:p>
    <w:p w:rsidR="00553198" w:rsidRPr="00732FA4" w:rsidRDefault="00553198" w:rsidP="00553198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يذهب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انصار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هذه النظرية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اعتبار القانون الدولي العام والقانون الداخلي نظامين قانونيين متساويين مستقلين ومنفصلين كل منهما عن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الاخر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ولا تداخل بينهما . وذلك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للاسباب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الاتية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.</w:t>
      </w:r>
    </w:p>
    <w:p w:rsidR="00553198" w:rsidRPr="00732FA4" w:rsidRDefault="00553198" w:rsidP="00553198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اختلاف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مصار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القانون الدولي عن مصادر القانون الداخلي .</w:t>
      </w:r>
    </w:p>
    <w:p w:rsidR="00553198" w:rsidRPr="00732FA4" w:rsidRDefault="00553198" w:rsidP="00553198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اختلاف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اخاص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القانون الدولي عن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اشخاص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القانون الداخلي .</w:t>
      </w:r>
    </w:p>
    <w:p w:rsidR="00553198" w:rsidRPr="00732FA4" w:rsidRDefault="00553198" w:rsidP="00553198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اختلاف موضوع القانونين .</w:t>
      </w:r>
    </w:p>
    <w:p w:rsidR="00553198" w:rsidRPr="00732FA4" w:rsidRDefault="00553198" w:rsidP="00553198">
      <w:pPr>
        <w:pStyle w:val="a3"/>
        <w:numPr>
          <w:ilvl w:val="0"/>
          <w:numId w:val="1"/>
        </w:numPr>
        <w:jc w:val="both"/>
        <w:rPr>
          <w:sz w:val="28"/>
          <w:szCs w:val="28"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اختلاف طبيعة البناء القانوني في كل منهما .</w:t>
      </w:r>
    </w:p>
    <w:p w:rsidR="00553198" w:rsidRPr="00732FA4" w:rsidRDefault="00553198" w:rsidP="00553198">
      <w:pPr>
        <w:jc w:val="both"/>
        <w:rPr>
          <w:sz w:val="28"/>
          <w:szCs w:val="28"/>
          <w:rtl/>
          <w:lang w:bidi="ar-IQ"/>
        </w:rPr>
      </w:pPr>
    </w:p>
    <w:p w:rsidR="00553198" w:rsidRPr="00732FA4" w:rsidRDefault="00553198" w:rsidP="00553198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>نظرية وحدة القانون</w:t>
      </w:r>
    </w:p>
    <w:p w:rsidR="00553198" w:rsidRDefault="00553198" w:rsidP="00553198">
      <w:pPr>
        <w:jc w:val="both"/>
        <w:rPr>
          <w:sz w:val="28"/>
          <w:szCs w:val="28"/>
          <w:rtl/>
          <w:lang w:bidi="ar-IQ"/>
        </w:rPr>
      </w:pPr>
      <w:r w:rsidRPr="00732FA4">
        <w:rPr>
          <w:rFonts w:hint="cs"/>
          <w:sz w:val="28"/>
          <w:szCs w:val="28"/>
          <w:rtl/>
          <w:lang w:bidi="ar-IQ"/>
        </w:rPr>
        <w:t xml:space="preserve">وهذه النظرية على نقيض النظرية السابقة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لانها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تجعل من قواعد القانون الدولي العام وقواعد القانون الداخلي كتلة قانونية واحدة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اي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نظاما قانونيا واحدا لا ينفصل عن بعضه . وتقوم هذه النظرية على فكرة التدرج القانوني الذي يقضي بضرورة خضوع القاعدة القانوني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الادنى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مرتبة في السلم القانوني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القاعدة التي تعلوها وتستمد قوتها منها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الى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ان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ينتهي التدرج عند القاعدة </w:t>
      </w:r>
      <w:proofErr w:type="spellStart"/>
      <w:r w:rsidRPr="00732FA4">
        <w:rPr>
          <w:rFonts w:hint="cs"/>
          <w:sz w:val="28"/>
          <w:szCs w:val="28"/>
          <w:rtl/>
          <w:lang w:bidi="ar-IQ"/>
        </w:rPr>
        <w:t>الاساسية</w:t>
      </w:r>
      <w:proofErr w:type="spellEnd"/>
      <w:r w:rsidRPr="00732FA4">
        <w:rPr>
          <w:rFonts w:hint="cs"/>
          <w:sz w:val="28"/>
          <w:szCs w:val="28"/>
          <w:rtl/>
          <w:lang w:bidi="ar-IQ"/>
        </w:rPr>
        <w:t xml:space="preserve"> العام</w:t>
      </w:r>
      <w:r>
        <w:rPr>
          <w:rFonts w:hint="cs"/>
          <w:sz w:val="28"/>
          <w:szCs w:val="28"/>
          <w:rtl/>
          <w:lang w:bidi="ar-IQ"/>
        </w:rPr>
        <w:t xml:space="preserve">ة التي تعد </w:t>
      </w:r>
      <w:proofErr w:type="spellStart"/>
      <w:r>
        <w:rPr>
          <w:rFonts w:hint="cs"/>
          <w:sz w:val="28"/>
          <w:szCs w:val="28"/>
          <w:rtl/>
          <w:lang w:bidi="ar-IQ"/>
        </w:rPr>
        <w:t>اساس</w:t>
      </w:r>
      <w:proofErr w:type="spellEnd"/>
      <w:r>
        <w:rPr>
          <w:rFonts w:hint="cs"/>
          <w:sz w:val="28"/>
          <w:szCs w:val="28"/>
          <w:rtl/>
          <w:lang w:bidi="ar-IQ"/>
        </w:rPr>
        <w:t xml:space="preserve"> القانون </w:t>
      </w:r>
    </w:p>
    <w:p w:rsidR="00553198" w:rsidRDefault="00553198" w:rsidP="00553198">
      <w:pPr>
        <w:jc w:val="both"/>
        <w:rPr>
          <w:sz w:val="28"/>
          <w:szCs w:val="28"/>
          <w:rtl/>
          <w:lang w:bidi="ar-IQ"/>
        </w:rPr>
      </w:pPr>
    </w:p>
    <w:p w:rsidR="00553198" w:rsidRDefault="00553198" w:rsidP="00553198">
      <w:pPr>
        <w:jc w:val="both"/>
        <w:rPr>
          <w:sz w:val="28"/>
          <w:szCs w:val="28"/>
          <w:rtl/>
          <w:lang w:bidi="ar-IQ"/>
        </w:rPr>
      </w:pPr>
    </w:p>
    <w:p w:rsidR="00FE19C0" w:rsidRDefault="00FE19C0">
      <w:pPr>
        <w:rPr>
          <w:lang w:bidi="ar-IQ"/>
        </w:rPr>
      </w:pPr>
    </w:p>
    <w:sectPr w:rsidR="00FE19C0" w:rsidSect="004F4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553FB"/>
    <w:multiLevelType w:val="hybridMultilevel"/>
    <w:tmpl w:val="4F6672E8"/>
    <w:lvl w:ilvl="0" w:tplc="51E65B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553198"/>
    <w:rsid w:val="004F4921"/>
    <w:rsid w:val="00553198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19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>SACC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 Fattouh</dc:creator>
  <cp:lastModifiedBy>Maher Fattouh</cp:lastModifiedBy>
  <cp:revision>1</cp:revision>
  <dcterms:created xsi:type="dcterms:W3CDTF">2020-03-22T12:23:00Z</dcterms:created>
  <dcterms:modified xsi:type="dcterms:W3CDTF">2020-03-22T12:24:00Z</dcterms:modified>
</cp:coreProperties>
</file>