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C4" w:rsidRPr="002829AE" w:rsidRDefault="002614C4" w:rsidP="002614C4">
      <w:pPr>
        <w:tabs>
          <w:tab w:val="left" w:pos="1373"/>
        </w:tabs>
        <w:rPr>
          <w:b/>
          <w:bCs/>
          <w:sz w:val="28"/>
          <w:szCs w:val="28"/>
        </w:rPr>
      </w:pPr>
      <w:bookmarkStart w:id="0" w:name="_GoBack"/>
      <w:bookmarkEnd w:id="0"/>
      <w:r w:rsidRPr="002829AE">
        <w:rPr>
          <w:b/>
          <w:bCs/>
          <w:sz w:val="28"/>
          <w:szCs w:val="28"/>
        </w:rPr>
        <w:t>Developing an Operating Budget</w:t>
      </w:r>
    </w:p>
    <w:p w:rsidR="002614C4" w:rsidRPr="002829AE" w:rsidRDefault="002614C4" w:rsidP="002614C4">
      <w:pPr>
        <w:tabs>
          <w:tab w:val="left" w:pos="1373"/>
        </w:tabs>
        <w:rPr>
          <w:sz w:val="28"/>
          <w:szCs w:val="28"/>
        </w:rPr>
      </w:pPr>
      <w:r w:rsidRPr="002829AE">
        <w:rPr>
          <w:sz w:val="28"/>
          <w:szCs w:val="28"/>
        </w:rPr>
        <w:t>Budgets are typically developed for a set period, such as a month, quarter, year, and so on. The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set period can itself be broken into sub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periods. For example, a 12-month cash budget may be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broken into 12 monthly periods so that c</w:t>
      </w:r>
      <w:r>
        <w:rPr>
          <w:sz w:val="28"/>
          <w:szCs w:val="28"/>
        </w:rPr>
        <w:t xml:space="preserve">ash inflows and outflows can be </w:t>
      </w:r>
      <w:r w:rsidRPr="002829AE">
        <w:rPr>
          <w:sz w:val="28"/>
          <w:szCs w:val="28"/>
        </w:rPr>
        <w:t>better coordinated.</w:t>
      </w:r>
    </w:p>
    <w:p w:rsidR="002614C4" w:rsidRPr="002829AE" w:rsidRDefault="002614C4" w:rsidP="002614C4">
      <w:pPr>
        <w:tabs>
          <w:tab w:val="left" w:pos="1373"/>
        </w:tabs>
        <w:rPr>
          <w:b/>
          <w:bCs/>
          <w:sz w:val="28"/>
          <w:szCs w:val="28"/>
        </w:rPr>
      </w:pPr>
      <w:r w:rsidRPr="002829AE">
        <w:rPr>
          <w:b/>
          <w:bCs/>
          <w:sz w:val="28"/>
          <w:szCs w:val="28"/>
        </w:rPr>
        <w:t>Time Coverage of Budgets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 w:rsidRPr="002829AE">
        <w:rPr>
          <w:sz w:val="28"/>
          <w:szCs w:val="28"/>
        </w:rPr>
        <w:t>The motive for creating a budget should guide a manager in choosing the period for the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budget. For example, consider budgeting for a new Harley-Davidson 500-cc motorcycle.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If the purpose is to budget for the total profitability of this new model, a five-year period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(or more) may be suitable and long enough to cover the product from design through to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manufacture, sales, and after-sales support. In contrast, consider budgeting for a school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 w:rsidRPr="00A92265">
        <w:rPr>
          <w:sz w:val="28"/>
          <w:szCs w:val="28"/>
        </w:rPr>
        <w:t>play. If the purpose is to estimate all cash outlays, a six-month period from the planning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stage to the final performance may suffice.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The most frequently used budget period is one year, which is often subdivided into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months and quarters. The budgeted data for a year are frequently revised as the year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goes on. At the end of the second quarter, management may change the budget for the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next two quarters in light of new information obtained during the first six months. For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 xml:space="preserve">example, </w:t>
      </w:r>
      <w:proofErr w:type="spellStart"/>
      <w:r w:rsidRPr="00A92265">
        <w:rPr>
          <w:sz w:val="28"/>
          <w:szCs w:val="28"/>
        </w:rPr>
        <w:t>Amerigroup</w:t>
      </w:r>
      <w:proofErr w:type="spellEnd"/>
      <w:r w:rsidRPr="00A92265">
        <w:rPr>
          <w:sz w:val="28"/>
          <w:szCs w:val="28"/>
        </w:rPr>
        <w:t>, a health insurance firm, had to make substantial revisions to its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third-quarter and annual cost projections for 2009 because of higher-than-expected costs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related to the H1N1 virus.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Businesses are increasingly using rolling budgets. A rolling budget, also called a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continuous budget, is a budget that is always available for a specified future period. It is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created by continually adding a month, quarter, or year to the period that just ended.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Consider Electrolux, the global appliance company, which has a three- to five-year strategic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plan and a four-quarter rolling budget. A four-quarter rolling budget for the April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2011 to March 2012 period is superseded in the next quarter—that is in June 2011—by a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four-quarter rolling budget for July 2011 to June 2012, and so on. There is always a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12-month budget (for the next year) in place. Rolling budgets constantly force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 xml:space="preserve">Electrolux’s management to think about </w:t>
      </w:r>
      <w:r w:rsidRPr="00A92265">
        <w:rPr>
          <w:sz w:val="28"/>
          <w:szCs w:val="28"/>
        </w:rPr>
        <w:lastRenderedPageBreak/>
        <w:t>the forthcoming 12 months, regardless of the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quarter at hand. Some companies prepare rolling financial forecasts that look ahead five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quarters. Examples are Borealis, Europe’s leading polyolefin plastics manufacturer;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Millipore, a life sciences research and manufacturing firm headquartered in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 xml:space="preserve">Massachusetts; and </w:t>
      </w:r>
      <w:proofErr w:type="spellStart"/>
      <w:r w:rsidRPr="00A92265">
        <w:rPr>
          <w:sz w:val="28"/>
          <w:szCs w:val="28"/>
        </w:rPr>
        <w:t>Nordea</w:t>
      </w:r>
      <w:proofErr w:type="spellEnd"/>
      <w:r w:rsidRPr="00A92265">
        <w:rPr>
          <w:sz w:val="28"/>
          <w:szCs w:val="28"/>
        </w:rPr>
        <w:t>, the largest financial services group in the Nordic and Baltic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Sea region. Others, such as EMC Corporation, the information infrastructure giant,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employ a six-quarter rolling-forecast process so that budget allocations can be constantly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adjusted to meet changing market conditions.</w:t>
      </w:r>
    </w:p>
    <w:p w:rsidR="002614C4" w:rsidRPr="00CD45F4" w:rsidRDefault="002614C4" w:rsidP="002614C4">
      <w:pPr>
        <w:tabs>
          <w:tab w:val="left" w:pos="1373"/>
        </w:tabs>
        <w:rPr>
          <w:b/>
          <w:bCs/>
          <w:sz w:val="28"/>
          <w:szCs w:val="28"/>
        </w:rPr>
      </w:pPr>
      <w:r w:rsidRPr="00CD45F4">
        <w:rPr>
          <w:b/>
          <w:bCs/>
          <w:sz w:val="28"/>
          <w:szCs w:val="28"/>
        </w:rPr>
        <w:t>Steps in Preparing an Operating Budget</w:t>
      </w:r>
    </w:p>
    <w:p w:rsidR="002614C4" w:rsidRPr="00CD45F4" w:rsidRDefault="002614C4" w:rsidP="002614C4">
      <w:pPr>
        <w:tabs>
          <w:tab w:val="left" w:pos="1373"/>
        </w:tabs>
        <w:rPr>
          <w:sz w:val="28"/>
          <w:szCs w:val="28"/>
        </w:rPr>
      </w:pPr>
      <w:r w:rsidRPr="00CD45F4">
        <w:rPr>
          <w:sz w:val="28"/>
          <w:szCs w:val="28"/>
        </w:rPr>
        <w:t>The best way to explain how to prepare an operating budget is by walking through the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steps a company would take to do so. Consider Stylistic Furniture, a company that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makes two types of granite-top coffee tables: Casual and Deluxe. It is late 2011 and</w:t>
      </w:r>
      <w:r>
        <w:rPr>
          <w:sz w:val="28"/>
          <w:szCs w:val="28"/>
        </w:rPr>
        <w:t xml:space="preserve"> </w:t>
      </w:r>
      <w:proofErr w:type="spellStart"/>
      <w:r w:rsidRPr="00CD45F4">
        <w:rPr>
          <w:sz w:val="28"/>
          <w:szCs w:val="28"/>
        </w:rPr>
        <w:t>Stylistic’s</w:t>
      </w:r>
      <w:proofErr w:type="spellEnd"/>
      <w:r w:rsidRPr="00CD45F4">
        <w:rPr>
          <w:sz w:val="28"/>
          <w:szCs w:val="28"/>
        </w:rPr>
        <w:t xml:space="preserve"> CEO, Rex Jordan, is very concerned about how he is going to respond to the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board of directors’ mandate to increase profits by 10% in the coming year. Jordan goes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through the five-step decision-making process introduced in Chapter 1.</w:t>
      </w:r>
    </w:p>
    <w:p w:rsidR="002614C4" w:rsidRPr="00CD45F4" w:rsidRDefault="002614C4" w:rsidP="002614C4">
      <w:pPr>
        <w:tabs>
          <w:tab w:val="left" w:pos="1373"/>
        </w:tabs>
        <w:rPr>
          <w:sz w:val="28"/>
          <w:szCs w:val="28"/>
        </w:rPr>
      </w:pPr>
      <w:r w:rsidRPr="00CD45F4">
        <w:rPr>
          <w:sz w:val="28"/>
          <w:szCs w:val="28"/>
        </w:rPr>
        <w:t>1. Identify the problem and uncertainties. The problem is to identify a strategy and to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build a budget to achieve a 10% profit growth. There are several uncertainties. Can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Stylistic dramatically increase sales for its more profitable Deluxe tables? What price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pressures is Stylistic likely to face? Will the cost of materials increase? Can costs be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reduced through efficiency improvements?</w:t>
      </w:r>
    </w:p>
    <w:p w:rsidR="002614C4" w:rsidRPr="00CD45F4" w:rsidRDefault="002614C4" w:rsidP="002614C4">
      <w:pPr>
        <w:tabs>
          <w:tab w:val="left" w:pos="1373"/>
        </w:tabs>
        <w:rPr>
          <w:sz w:val="28"/>
          <w:szCs w:val="28"/>
        </w:rPr>
      </w:pPr>
      <w:r w:rsidRPr="00CD45F4">
        <w:rPr>
          <w:sz w:val="28"/>
          <w:szCs w:val="28"/>
        </w:rPr>
        <w:t xml:space="preserve">2. Obtain information. </w:t>
      </w:r>
      <w:proofErr w:type="spellStart"/>
      <w:r w:rsidRPr="00CD45F4">
        <w:rPr>
          <w:sz w:val="28"/>
          <w:szCs w:val="28"/>
        </w:rPr>
        <w:t>Stylistic’s</w:t>
      </w:r>
      <w:proofErr w:type="spellEnd"/>
      <w:r w:rsidRPr="00CD45F4">
        <w:rPr>
          <w:sz w:val="28"/>
          <w:szCs w:val="28"/>
        </w:rPr>
        <w:t xml:space="preserve"> managers gather information about sales of Deluxe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tables in the current year. They are delighted to learn that sales have been stronger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 xml:space="preserve">than expected. Moreover, one of the key competitors in </w:t>
      </w:r>
      <w:proofErr w:type="spellStart"/>
      <w:r w:rsidRPr="00CD45F4">
        <w:rPr>
          <w:sz w:val="28"/>
          <w:szCs w:val="28"/>
        </w:rPr>
        <w:t>Stylistic’s</w:t>
      </w:r>
      <w:proofErr w:type="spellEnd"/>
      <w:r w:rsidRPr="00CD45F4">
        <w:rPr>
          <w:sz w:val="28"/>
          <w:szCs w:val="28"/>
        </w:rPr>
        <w:t xml:space="preserve"> Casual tables line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has had quality problems that are unlikely to be resolved until early 2012.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Unfortunately, they also discover that the prices of direct materials have increased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slightly during 2011.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 w:rsidRPr="00CD45F4">
        <w:rPr>
          <w:sz w:val="28"/>
          <w:szCs w:val="28"/>
        </w:rPr>
        <w:lastRenderedPageBreak/>
        <w:t xml:space="preserve">3. Make predictions about the future. </w:t>
      </w:r>
      <w:proofErr w:type="spellStart"/>
      <w:r w:rsidRPr="00CD45F4">
        <w:rPr>
          <w:sz w:val="28"/>
          <w:szCs w:val="28"/>
        </w:rPr>
        <w:t>Stylistic’s</w:t>
      </w:r>
      <w:proofErr w:type="spellEnd"/>
      <w:r w:rsidRPr="00CD45F4">
        <w:rPr>
          <w:sz w:val="28"/>
          <w:szCs w:val="28"/>
        </w:rPr>
        <w:t xml:space="preserve"> managers feel confident that with a little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more marketing, they will be able to grow the Deluxe tables business and even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increase prices slightly relative to 2011. They also do not expect significant price pressures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on Casual tables in the early part of the year, because of the quality problems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faced by a key competitor. They are concerned, however, that when the competitor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does start selling again, pressure on prices could increase.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The purchasing manager anticipates that prices of direct materials will be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about the same as in 2011. The manufacturing manager believes that efficiency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improvements would allow costs of manufacturing tables to be maintained at 2011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costs despite an increase in the prices of other inputs. Achieving these efficiency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improvements is important if Stylistic is to maintain its 12% operating margin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(that is, operating income ÷ sales = 12%) and to grow sales and operating income.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4. Make decisions by choosing among alternatives. Jordan and his managers feel confident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in their strategy of pushing sales of Deluxe tables. This decision has some risks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but is easily the best option available for Stylistic to increase profits by 10%.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5. Implement the decision, evaluate performance, and learn. As we will discuss in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Chapters 7 and 8, managers compare actual to predicted performance to learn about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 xml:space="preserve">why things turned out the way they did and how to do things better. </w:t>
      </w:r>
      <w:proofErr w:type="spellStart"/>
      <w:r w:rsidRPr="00D57F59">
        <w:rPr>
          <w:sz w:val="28"/>
          <w:szCs w:val="28"/>
        </w:rPr>
        <w:t>Stylistic’s</w:t>
      </w:r>
      <w:proofErr w:type="spellEnd"/>
      <w:r w:rsidRPr="00D57F59">
        <w:rPr>
          <w:sz w:val="28"/>
          <w:szCs w:val="28"/>
        </w:rPr>
        <w:t xml:space="preserve"> managers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would want to know whether their predictions about prices of Casual and Deluxe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tables were correct. Did prices of direct materials increase more or less than anticipated?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Did efficiency improvements occur? Such learning would be very helpful as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Stylistic plans its budgets in subsequent years.</w:t>
      </w:r>
      <w:r>
        <w:rPr>
          <w:sz w:val="28"/>
          <w:szCs w:val="28"/>
        </w:rPr>
        <w:t xml:space="preserve"> </w:t>
      </w:r>
      <w:proofErr w:type="spellStart"/>
      <w:r w:rsidRPr="00D57F59">
        <w:rPr>
          <w:sz w:val="28"/>
          <w:szCs w:val="28"/>
        </w:rPr>
        <w:t>Stylistic’s</w:t>
      </w:r>
      <w:proofErr w:type="spellEnd"/>
      <w:r w:rsidRPr="00D57F59">
        <w:rPr>
          <w:sz w:val="28"/>
          <w:szCs w:val="28"/>
        </w:rPr>
        <w:t xml:space="preserve"> managers begin their work toward the 2012 budget. Exhibit 6-2 shows a diagram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of the various parts of the master budget. The master budget comprises the financial projections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of all the individual budgets for a company for a specified period, usually a fiscal year.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light, medium, and dark purple boxes in Exhibit 6-2 represent the budgeted income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lastRenderedPageBreak/>
        <w:t>statement and its supporting budget schedules—together called the operating budget.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We show the revenues budget box in a light purple color to indicate that it is often the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starting point of the operating budget. The supporting schedules—shown in medium purple—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quantify the budgets for various business functions of the value chain, from research and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development to distribution costs. These schedules build up to the budgeted income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statement—the key summary statement in the operating budget—shown in dark purple.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light and dark blue boxes in the exhibit are the financial budget, which is that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part of the master budget made up of the capital expenditures budget, the cash budget,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budgeted balance sheet, and the budgeted statement of cash flows. A financial budget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focuses on how operations and planned capital outlays affect cash—shown in light blue.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cash budget and the budgeted income statement can then be used to prepare two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other summary financial statements—the budgeted balance sheet and the budgeted statement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of cash flows—shown in dark blue. The master budget is finalized only after several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rounds of discussions between top management and managers responsible for various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business functions in the value chain.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We next present the steps in preparing an operating budget for Stylistic Furniture for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2012. Use Exhibit 6-2 as a guide for the steps that follow. The appendix to this chapter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 xml:space="preserve">presents </w:t>
      </w:r>
      <w:proofErr w:type="spellStart"/>
      <w:r w:rsidRPr="00D57F59">
        <w:rPr>
          <w:sz w:val="28"/>
          <w:szCs w:val="28"/>
        </w:rPr>
        <w:t>Stylistic’s</w:t>
      </w:r>
      <w:proofErr w:type="spellEnd"/>
      <w:r w:rsidRPr="00D57F59">
        <w:rPr>
          <w:sz w:val="28"/>
          <w:szCs w:val="28"/>
        </w:rPr>
        <w:t xml:space="preserve"> cash budget, which is another key component of the master budget.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Details needed to prepare the budget follow:</w:t>
      </w:r>
    </w:p>
    <w:p w:rsidR="002614C4" w:rsidRPr="00D57F59" w:rsidRDefault="002614C4" w:rsidP="002614C4">
      <w:pPr>
        <w:pStyle w:val="a3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Stylistic sells two models of granite-top coffee tables: Casual and Deluxe. Revenue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unrelated to sales, such as interest income, is zero.</w:t>
      </w:r>
    </w:p>
    <w:p w:rsidR="002614C4" w:rsidRPr="00D57F59" w:rsidRDefault="002614C4" w:rsidP="002614C4">
      <w:pPr>
        <w:pStyle w:val="a3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Work-in-process inventory is negligible and is ignored.</w:t>
      </w:r>
    </w:p>
    <w:p w:rsidR="002614C4" w:rsidRPr="00D57F59" w:rsidRDefault="002614C4" w:rsidP="002614C4">
      <w:pPr>
        <w:pStyle w:val="a3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 xml:space="preserve">Direct materials inventory and finished goods inventory are </w:t>
      </w:r>
      <w:proofErr w:type="spellStart"/>
      <w:r w:rsidRPr="00D57F59">
        <w:rPr>
          <w:sz w:val="28"/>
          <w:szCs w:val="28"/>
        </w:rPr>
        <w:t>costed</w:t>
      </w:r>
      <w:proofErr w:type="spellEnd"/>
      <w:r w:rsidRPr="00D57F59">
        <w:rPr>
          <w:sz w:val="28"/>
          <w:szCs w:val="28"/>
        </w:rPr>
        <w:t xml:space="preserve"> using the first-in,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first-out (FIFO) method. Unit costs of direct materials purchased and unit costs of finished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goods sold remain unchanged throughout each budget year but can change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from year to year.</w:t>
      </w:r>
    </w:p>
    <w:p w:rsidR="002614C4" w:rsidRPr="00D57F59" w:rsidRDefault="002614C4" w:rsidP="002614C4">
      <w:pPr>
        <w:pStyle w:val="a3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lastRenderedPageBreak/>
        <w:t>There are two types of direct materials: red oak (RO) and granite slabs (GS). Direct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material costs are variable with respect to units of output—coffee tables.</w:t>
      </w:r>
    </w:p>
    <w:p w:rsidR="002614C4" w:rsidRPr="00D57F59" w:rsidRDefault="002614C4" w:rsidP="002614C4">
      <w:pPr>
        <w:pStyle w:val="a3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Direct manufacturing labor workers are hired on an hourly basis; no overtime is worked.</w:t>
      </w:r>
    </w:p>
    <w:p w:rsidR="002614C4" w:rsidRPr="00D57F59" w:rsidRDefault="002614C4" w:rsidP="002614C4">
      <w:pPr>
        <w:pStyle w:val="a3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There are two cost drivers for manufacturing overhead costs—direct manufacturing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labor-hours and setup labor-hours.</w:t>
      </w:r>
    </w:p>
    <w:p w:rsidR="002614C4" w:rsidRPr="00D57F59" w:rsidRDefault="002614C4" w:rsidP="002614C4">
      <w:pPr>
        <w:pStyle w:val="a3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Direct manufacturing labor-hours is the cost driver for the variable portion of manufacturing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operations overhead. The fixed component of manufacturing operations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overhead is tied to the manufacturing capacity of 300,000 direct manufacturing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labor-hours that Stylistic has planned for 2012.</w:t>
      </w:r>
    </w:p>
    <w:p w:rsidR="002614C4" w:rsidRPr="00D57F59" w:rsidRDefault="002614C4" w:rsidP="002614C4">
      <w:pPr>
        <w:pStyle w:val="a3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Setup labor-hours is the cost driver for the variable portion of machine setup overhead.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fixed component of machine setup overhead is tied to the setup capacity of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15,000 setup labor-hours that Stylistic has planned for 2012.</w:t>
      </w:r>
    </w:p>
    <w:p w:rsidR="002614C4" w:rsidRPr="00D57F59" w:rsidRDefault="002614C4" w:rsidP="002614C4">
      <w:pPr>
        <w:pStyle w:val="a3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 xml:space="preserve">For computing </w:t>
      </w:r>
      <w:proofErr w:type="spellStart"/>
      <w:r w:rsidRPr="00D57F59">
        <w:rPr>
          <w:sz w:val="28"/>
          <w:szCs w:val="28"/>
        </w:rPr>
        <w:t>inventoriable</w:t>
      </w:r>
      <w:proofErr w:type="spellEnd"/>
      <w:r w:rsidRPr="00D57F59">
        <w:rPr>
          <w:sz w:val="28"/>
          <w:szCs w:val="28"/>
        </w:rPr>
        <w:t xml:space="preserve"> costs, Stylistic allocates all (variable and fixed) manufacturing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operations overhead costs using direct manufacturing labor-hours and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machine setup overhead costs using setup labor-hours.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93235" wp14:editId="59C7D3C0">
            <wp:extent cx="5550196" cy="8272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686" t="16551" r="25354" b="6896"/>
                    <a:stretch/>
                  </pic:blipFill>
                  <pic:spPr bwMode="auto">
                    <a:xfrm>
                      <a:off x="0" y="0"/>
                      <a:ext cx="5552693" cy="827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1344F0" wp14:editId="1848A360">
            <wp:extent cx="5603358" cy="702812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838" t="13448" r="21670" b="11724"/>
                    <a:stretch/>
                  </pic:blipFill>
                  <pic:spPr bwMode="auto">
                    <a:xfrm>
                      <a:off x="0" y="0"/>
                      <a:ext cx="5605880" cy="703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</w:p>
    <w:p w:rsidR="002614C4" w:rsidRPr="001746A7" w:rsidRDefault="002614C4" w:rsidP="002614C4">
      <w:pPr>
        <w:tabs>
          <w:tab w:val="left" w:pos="7167"/>
        </w:tabs>
        <w:rPr>
          <w:sz w:val="28"/>
          <w:szCs w:val="28"/>
        </w:rPr>
      </w:pPr>
      <w:r w:rsidRPr="001746A7">
        <w:rPr>
          <w:sz w:val="28"/>
          <w:szCs w:val="28"/>
        </w:rPr>
        <w:lastRenderedPageBreak/>
        <w:t>The $38,000,000 is the amount of revenues in the budgeted income statement. The revenues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budget is often the result of elaborate information gathering and discussions among sales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managers and sales representatives who have a detailed understanding of customer needs,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market potential, and competitors’ products. This information is often gathered through a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customer response management (CRM) or sales management system. Statistical approaches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such as regression and trend analysis can also help in sales forecasting. These techniques use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indicators of economic activity and past sales data to forecast future sales. Managers should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use statistical analysis only as one input to forecast sales. In the final analysis, the sales forecast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should represent the collective experience and judgment of managers.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The usual starting point for Step 1 is to base revenues on expected demand.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Occasionally, a factor other than demand limits budgeted revenues. For example, when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demand is greater than available production capacity or a manufacturing input is in short</w:t>
      </w:r>
    </w:p>
    <w:p w:rsidR="002614C4" w:rsidRPr="001746A7" w:rsidRDefault="002614C4" w:rsidP="002614C4">
      <w:pPr>
        <w:tabs>
          <w:tab w:val="left" w:pos="7167"/>
        </w:tabs>
        <w:rPr>
          <w:sz w:val="28"/>
          <w:szCs w:val="28"/>
        </w:rPr>
      </w:pPr>
      <w:r w:rsidRPr="001746A7">
        <w:rPr>
          <w:sz w:val="28"/>
          <w:szCs w:val="28"/>
        </w:rPr>
        <w:t>supply, the revenues budget would be based on the maximum units that could be produced.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Why? Because sales would be limited by the amount produced.</w:t>
      </w: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  <w:r w:rsidRPr="001746A7">
        <w:rPr>
          <w:sz w:val="28"/>
          <w:szCs w:val="28"/>
        </w:rPr>
        <w:t>Step 2: Prepare the Production Budget (in Units). After revenues are budgeted, the manufacturing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manager prepares the production budget, which is calculated in Schedule 2.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The total finished goods units to be produced depend on budgeted unit sales and expected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changes in units of inventory levels:</w:t>
      </w: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B05AD7" wp14:editId="4999B017">
            <wp:extent cx="5422605" cy="6262577"/>
            <wp:effectExtent l="0" t="0" r="698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297" t="12759" r="21477" b="7241"/>
                    <a:stretch/>
                  </pic:blipFill>
                  <pic:spPr bwMode="auto">
                    <a:xfrm>
                      <a:off x="0" y="0"/>
                      <a:ext cx="5425046" cy="626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Pr="00D92A8C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052EDC" wp14:editId="69E372DB">
            <wp:extent cx="6028660" cy="64220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807" t="12069" r="23609" b="28965"/>
                    <a:stretch/>
                  </pic:blipFill>
                  <pic:spPr bwMode="auto">
                    <a:xfrm>
                      <a:off x="0" y="0"/>
                      <a:ext cx="6031373" cy="642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Pr="00D92A8C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rPr>
          <w:sz w:val="28"/>
          <w:szCs w:val="28"/>
        </w:rPr>
      </w:pPr>
    </w:p>
    <w:p w:rsidR="002614C4" w:rsidRPr="00D92A8C" w:rsidRDefault="002614C4" w:rsidP="002614C4">
      <w:pPr>
        <w:rPr>
          <w:sz w:val="28"/>
          <w:szCs w:val="28"/>
        </w:rPr>
      </w:pPr>
      <w:r w:rsidRPr="00D92A8C">
        <w:rPr>
          <w:sz w:val="28"/>
          <w:szCs w:val="28"/>
        </w:rPr>
        <w:t>Step 5: Prepare the Manufacturing Overhead Costs Budget. As we described earlier,</w:t>
      </w:r>
    </w:p>
    <w:p w:rsidR="002614C4" w:rsidRPr="00D92A8C" w:rsidRDefault="002614C4" w:rsidP="002614C4">
      <w:pPr>
        <w:rPr>
          <w:sz w:val="28"/>
          <w:szCs w:val="28"/>
        </w:rPr>
      </w:pPr>
      <w:r w:rsidRPr="00D92A8C">
        <w:rPr>
          <w:sz w:val="28"/>
          <w:szCs w:val="28"/>
        </w:rPr>
        <w:lastRenderedPageBreak/>
        <w:t>direct manufacturing labor-hours is the cost driver for the variable portion of manufacturing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operations overhead and setup labor-hours is the cost driver for the variable portion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of machine setup overhead costs. The use of activity-based cost drivers such as these gives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rise to activity-based budgeting. Activity-based budgeting (ABB) focuses on the budgeted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cost of the activities necessary to produce and sell products and services.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 xml:space="preserve">For the 300,000 direct manufacturing labor-hours, </w:t>
      </w:r>
      <w:proofErr w:type="spellStart"/>
      <w:r w:rsidRPr="00D92A8C">
        <w:rPr>
          <w:sz w:val="28"/>
          <w:szCs w:val="28"/>
        </w:rPr>
        <w:t>Stylistic’s</w:t>
      </w:r>
      <w:proofErr w:type="spellEnd"/>
      <w:r w:rsidRPr="00D92A8C">
        <w:rPr>
          <w:sz w:val="28"/>
          <w:szCs w:val="28"/>
        </w:rPr>
        <w:t xml:space="preserve"> manufacturing managers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estimate various line items of overhead costs that constitute manufacturing operations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overhead (that is, all costs for which direct manufacturing labor-hours is the cost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driver). Managers identify opportunities for process improvements and determine budgeted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manufacturing operations overhead costs in the operating department. They also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determine the resources that they will need from the two support departments—kilowatt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hours of energy from the power department and hours of maintenance service from the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maintenance department. The support department managers, in turn, plan the costs of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personnel and supplies that they will need in order to provide the operating department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with the support services it requires. The costs of the support departments are then allocated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(first-stage cost allocation) as part of manufacturing operations overhead.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Chapter 15 describes how the allocation of support department costs to operating departments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is done when support departments provide services to each other and to operating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departments. The upper half of Schedule 5 shows the various line items of costs that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constitute manufacturing operations overhead costs—that is, all overhead costs that are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caused by the 300,000 direct manufacturing labor-hours (the cost driver).</w:t>
      </w:r>
      <w:r>
        <w:rPr>
          <w:sz w:val="28"/>
          <w:szCs w:val="28"/>
        </w:rPr>
        <w:t xml:space="preserve"> </w:t>
      </w:r>
      <w:proofErr w:type="spellStart"/>
      <w:r w:rsidRPr="00D92A8C">
        <w:rPr>
          <w:sz w:val="28"/>
          <w:szCs w:val="28"/>
        </w:rPr>
        <w:t>Stylistic’s</w:t>
      </w:r>
      <w:proofErr w:type="spellEnd"/>
      <w:r w:rsidRPr="00D92A8C">
        <w:rPr>
          <w:sz w:val="28"/>
          <w:szCs w:val="28"/>
        </w:rPr>
        <w:t xml:space="preserve"> managers determine how setups should be done for the Casual and Deluxe line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of tables, taking into account past experiences and potential improvements in setup efficiency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For example, managers consider the following:</w:t>
      </w:r>
    </w:p>
    <w:p w:rsidR="002614C4" w:rsidRPr="00D92A8C" w:rsidRDefault="002614C4" w:rsidP="002614C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Increasing the length of the production run per batch so that fewer batches (and therefore fewer setups) are needed for the budgeted production of tables</w:t>
      </w:r>
    </w:p>
    <w:p w:rsidR="002614C4" w:rsidRPr="00D92A8C" w:rsidRDefault="002614C4" w:rsidP="002614C4">
      <w:pPr>
        <w:pStyle w:val="a3"/>
        <w:numPr>
          <w:ilvl w:val="0"/>
          <w:numId w:val="3"/>
        </w:numPr>
        <w:rPr>
          <w:sz w:val="28"/>
          <w:szCs w:val="28"/>
        </w:rPr>
      </w:pPr>
      <w:r w:rsidRPr="00D92A8C">
        <w:rPr>
          <w:sz w:val="28"/>
          <w:szCs w:val="28"/>
        </w:rPr>
        <w:lastRenderedPageBreak/>
        <w:t>Decreasing the setup time per batch</w:t>
      </w:r>
    </w:p>
    <w:p w:rsidR="002614C4" w:rsidRDefault="002614C4" w:rsidP="002614C4">
      <w:pPr>
        <w:pStyle w:val="a3"/>
        <w:numPr>
          <w:ilvl w:val="0"/>
          <w:numId w:val="2"/>
        </w:numPr>
        <w:rPr>
          <w:sz w:val="28"/>
          <w:szCs w:val="28"/>
        </w:rPr>
      </w:pPr>
      <w:r w:rsidRPr="00D92A8C">
        <w:rPr>
          <w:sz w:val="28"/>
          <w:szCs w:val="28"/>
        </w:rPr>
        <w:t xml:space="preserve">Reducing the supervisory time needed, for instance by increasing the skill base of workers </w:t>
      </w:r>
      <w:proofErr w:type="spellStart"/>
      <w:r w:rsidRPr="00D92A8C">
        <w:rPr>
          <w:sz w:val="28"/>
          <w:szCs w:val="28"/>
        </w:rPr>
        <w:t>Stylistic’s</w:t>
      </w:r>
      <w:proofErr w:type="spellEnd"/>
      <w:r w:rsidRPr="00D92A8C">
        <w:rPr>
          <w:sz w:val="28"/>
          <w:szCs w:val="28"/>
        </w:rPr>
        <w:t xml:space="preserve"> managers forecast the following setup information for the Casual and Deluxe tables:</w:t>
      </w:r>
    </w:p>
    <w:p w:rsidR="002614C4" w:rsidRDefault="002614C4" w:rsidP="002614C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209BF9" wp14:editId="080C5E92">
            <wp:extent cx="5560828" cy="5901070"/>
            <wp:effectExtent l="0" t="0" r="190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297" t="21378" r="21670" b="9656"/>
                    <a:stretch/>
                  </pic:blipFill>
                  <pic:spPr bwMode="auto">
                    <a:xfrm>
                      <a:off x="0" y="0"/>
                      <a:ext cx="5563328" cy="590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 w:rsidRPr="003821F7">
        <w:rPr>
          <w:sz w:val="28"/>
          <w:szCs w:val="28"/>
        </w:rPr>
        <w:lastRenderedPageBreak/>
        <w:t>Step 6: Prepare the Ending Inventories Budget. The management accountant prepares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the ending inventories budget, calculated in Schedules 6A and 6B. In accordance with generally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accepted accounting principles, Stylistic treats both variable and fixed manufacturing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 xml:space="preserve">overhead as </w:t>
      </w:r>
      <w:proofErr w:type="spellStart"/>
      <w:r w:rsidRPr="003821F7">
        <w:rPr>
          <w:sz w:val="28"/>
          <w:szCs w:val="28"/>
        </w:rPr>
        <w:t>inventoriable</w:t>
      </w:r>
      <w:proofErr w:type="spellEnd"/>
      <w:r w:rsidRPr="003821F7">
        <w:rPr>
          <w:sz w:val="28"/>
          <w:szCs w:val="28"/>
        </w:rPr>
        <w:t xml:space="preserve"> (product) costs. Stylistic is budgeted to operate at capacity.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Manufacturing operations overhead costs are allocated to finished goods inventory at the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budgeted rate of $30 per direct manufacturing labor-hour (total budgeted manufacturing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operations overhead, $9,000,000 ÷ 300,000 budgeted direct manufacturing labor-hours).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Machine setup overhead costs are allocated to finished goods inventory at the budgeted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rate of $200 per setup-hour (total budgeted machine setup overhead, $3,000,000 ÷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15,000 budgeted setup labor-hours). Schedule 6A shows the computation of the unit cost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of coffee tables started and completed in 2012</w:t>
      </w:r>
      <w:r>
        <w:rPr>
          <w:sz w:val="28"/>
          <w:szCs w:val="28"/>
        </w:rPr>
        <w:t xml:space="preserve"> 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5D94B06B" wp14:editId="2C40D50E">
            <wp:extent cx="5709684" cy="4763386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032" t="16897" r="24385" b="8277"/>
                    <a:stretch/>
                  </pic:blipFill>
                  <pic:spPr bwMode="auto">
                    <a:xfrm>
                      <a:off x="0" y="0"/>
                      <a:ext cx="5712256" cy="476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Default="002614C4" w:rsidP="002614C4">
      <w:pPr>
        <w:tabs>
          <w:tab w:val="left" w:pos="6832"/>
        </w:tabs>
        <w:rPr>
          <w:sz w:val="28"/>
          <w:szCs w:val="28"/>
        </w:rPr>
      </w:pPr>
      <w:r w:rsidRPr="003821F7">
        <w:rPr>
          <w:sz w:val="28"/>
          <w:szCs w:val="28"/>
        </w:rPr>
        <w:lastRenderedPageBreak/>
        <w:t>Step 8: Prepare the Nonmanufacturing Costs Budget. Schedules 2 through 7 cover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 xml:space="preserve">budgeting for </w:t>
      </w:r>
      <w:proofErr w:type="spellStart"/>
      <w:r w:rsidRPr="003821F7">
        <w:rPr>
          <w:sz w:val="28"/>
          <w:szCs w:val="28"/>
        </w:rPr>
        <w:t>Stylistic’s</w:t>
      </w:r>
      <w:proofErr w:type="spellEnd"/>
      <w:r w:rsidRPr="003821F7">
        <w:rPr>
          <w:sz w:val="28"/>
          <w:szCs w:val="28"/>
        </w:rPr>
        <w:t xml:space="preserve"> production function of the value chain. For brevity, other parts of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the value chain—product design, marketing, and distribution—are combined into a single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schedule. Just as in the case of manufacturing costs, managers in other functions of the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value chain build in process and efficiency improvements and prepare nonmanufacturing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cost budgets on the basis of the quantities of cost drivers planned for 2012.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Product design costs are fixed costs, determined on the basis of the product design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work anticipated for 2012. The variable component of budgeted marketing costs is the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commissions paid to sales people equal to 6.5% of revenues. The fixed component of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budgeted marketing costs equal to $1,330,000 is tied to the marketing capacity for 2012.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The cost driver of the variable component of budgeted distribution costs is cubic feet of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tables moved (Casual: 18 cubic feet</w:t>
      </w:r>
      <w:r>
        <w:rPr>
          <w:sz w:val="28"/>
          <w:szCs w:val="28"/>
        </w:rPr>
        <w:t>*</w:t>
      </w:r>
      <w:r w:rsidRPr="003821F7">
        <w:rPr>
          <w:sz w:val="28"/>
          <w:szCs w:val="28"/>
        </w:rPr>
        <w:t xml:space="preserve"> 50,000 tables + Deluxe: 24 cubic feet</w:t>
      </w:r>
      <w:r>
        <w:rPr>
          <w:sz w:val="28"/>
          <w:szCs w:val="28"/>
        </w:rPr>
        <w:t>*</w:t>
      </w:r>
      <w:r w:rsidRPr="003821F7">
        <w:rPr>
          <w:sz w:val="28"/>
          <w:szCs w:val="28"/>
        </w:rPr>
        <w:t>10,000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tables = 1,140,000 cubic feet). Variable distribution costs equal $2 per cubic foot. The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fixed component of budgeted distribution costs equals $1,596,000 and is tied to the distribution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capacity for 2012. Schedule 8 shows the product design, marketing, and distribution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costs budget for 2012.</w:t>
      </w:r>
    </w:p>
    <w:p w:rsidR="002614C4" w:rsidRDefault="002614C4" w:rsidP="002614C4">
      <w:pPr>
        <w:tabs>
          <w:tab w:val="left" w:pos="6832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3A35BA" wp14:editId="2A2C10E4">
            <wp:extent cx="5454503" cy="676230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839" t="23448" r="20700" b="7931"/>
                    <a:stretch/>
                  </pic:blipFill>
                  <pic:spPr bwMode="auto">
                    <a:xfrm>
                      <a:off x="0" y="0"/>
                      <a:ext cx="5456958" cy="676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more carefully, however, he is struck by two comments appended to the budget: First, to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achieve the budgeted number of tables sold, Stylistic may need to reduce its selling prices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by 3% to $582 for Casual tables and to $776 for Deluxe tables. Second, a supply shortage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 xml:space="preserve">in direct materials may result </w:t>
      </w:r>
      <w:r w:rsidRPr="000400FB">
        <w:rPr>
          <w:sz w:val="28"/>
          <w:szCs w:val="28"/>
        </w:rPr>
        <w:lastRenderedPageBreak/>
        <w:t>in a 5% increase in the prices of direct materials (red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oak and granite) above the material prices anticipated in the 2012 budget. If direct materials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prices increase, however, no reduction in selling prices is anticipated. He asks Tina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 xml:space="preserve">Larsen, the management accountant, to use </w:t>
      </w:r>
      <w:proofErr w:type="spellStart"/>
      <w:r w:rsidRPr="000400FB">
        <w:rPr>
          <w:sz w:val="28"/>
          <w:szCs w:val="28"/>
        </w:rPr>
        <w:t>Stylistic’s</w:t>
      </w:r>
      <w:proofErr w:type="spellEnd"/>
      <w:r w:rsidRPr="000400FB">
        <w:rPr>
          <w:sz w:val="28"/>
          <w:szCs w:val="28"/>
        </w:rPr>
        <w:t xml:space="preserve"> financial planning model to evaluate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how these outcomes will affect budgeted operating income.</w:t>
      </w:r>
    </w:p>
    <w:p w:rsidR="002614C4" w:rsidRPr="000400FB" w:rsidRDefault="002614C4" w:rsidP="002614C4">
      <w:pPr>
        <w:tabs>
          <w:tab w:val="left" w:pos="6832"/>
        </w:tabs>
        <w:rPr>
          <w:b/>
          <w:bCs/>
          <w:sz w:val="28"/>
          <w:szCs w:val="28"/>
        </w:rPr>
      </w:pPr>
      <w:r w:rsidRPr="000400FB">
        <w:rPr>
          <w:b/>
          <w:bCs/>
          <w:sz w:val="28"/>
          <w:szCs w:val="28"/>
        </w:rPr>
        <w:t>Financial Planning Models and Sensitivity</w:t>
      </w:r>
      <w:r>
        <w:rPr>
          <w:b/>
          <w:bCs/>
          <w:sz w:val="28"/>
          <w:szCs w:val="28"/>
        </w:rPr>
        <w:t xml:space="preserve"> </w:t>
      </w:r>
      <w:r w:rsidRPr="000400FB">
        <w:rPr>
          <w:b/>
          <w:bCs/>
          <w:sz w:val="28"/>
          <w:szCs w:val="28"/>
        </w:rPr>
        <w:t>Analysis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Financial planning models are mathematical representations of the relationships among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operating activities, financing activities, and other factors that affect the master budget.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Companies can use computer-based systems, such as Enterprise Resource Planning (ERP)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systems, to perform calculations for these planning models. Companies that use ERP systems,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and other such budgeting tools, find that these systems simplify budgeting and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reduce the computational burden and time required to prepare budgets. The Concepts in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Action box on page 220 provides an example of one such company. ERP systems store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vast quantities of information about the materials, machines and equipment, labor,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power, maintenance, and setups needed to manufacture different products. Once sales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quantities for different products have been identified, the software can quickly compute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the budgeted costs for manufacturing these products.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Software packages typically have a module on sensitivity analysis to assist managers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in their planning and budgeting activities. Sensitivity analysis is a “what-if” technique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that examines how a result will change if the original predicted data are not achieved or if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an underlying assumption changes.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To see how sensitivity analysis works, we consider two scenarios identified as possibly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affecting Stylistic Furniture’s budget model for 2012.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Scenario 1: A 3% decrease in the selling price of the Casual table and a 3% decrease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in the selling price of the Deluxe table.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lastRenderedPageBreak/>
        <w:t>Scenario 2: A 5% increase in the price per board foot of red oak and a 5% increase in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the price per square foot of granite.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Exhibit 6-4 presents the budgeted operating income for the two scenarios.</w:t>
      </w:r>
    </w:p>
    <w:p w:rsidR="002614C4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Note that under Scenario 1, a change in selling prices per table affects revenues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(Schedule 1) as well as variable marketing costs (sales commissions, Schedule 8). The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Problem for Self-Study at the end of the chapter shows the revised schedules for Scenario 1.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Similarly, a change in the price of direct materials affects the direct material usage budget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(Schedule 3A), the unit cost of ending finished goods inventory (Schedule 6A), the ending</w:t>
      </w:r>
      <w:r>
        <w:rPr>
          <w:sz w:val="28"/>
          <w:szCs w:val="28"/>
        </w:rPr>
        <w:t xml:space="preserve"> </w:t>
      </w:r>
    </w:p>
    <w:p w:rsidR="002614C4" w:rsidRDefault="002614C4" w:rsidP="002614C4">
      <w:pPr>
        <w:tabs>
          <w:tab w:val="left" w:pos="6832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7790B904" wp14:editId="0616C585">
            <wp:extent cx="5911703" cy="38702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838" t="64138" r="19150" b="8621"/>
                    <a:stretch/>
                  </pic:blipFill>
                  <pic:spPr bwMode="auto">
                    <a:xfrm>
                      <a:off x="0" y="0"/>
                      <a:ext cx="5914365" cy="387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Pr="000400FB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rPr>
          <w:sz w:val="28"/>
          <w:szCs w:val="28"/>
        </w:rPr>
      </w:pPr>
    </w:p>
    <w:p w:rsidR="002614C4" w:rsidRPr="000400FB" w:rsidRDefault="002614C4" w:rsidP="002614C4">
      <w:pPr>
        <w:tabs>
          <w:tab w:val="left" w:pos="29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460D2" w:rsidRPr="002614C4" w:rsidRDefault="00A460D2">
      <w:pPr>
        <w:rPr>
          <w:sz w:val="28"/>
          <w:szCs w:val="28"/>
        </w:rPr>
      </w:pPr>
    </w:p>
    <w:sectPr w:rsidR="00A460D2" w:rsidRPr="002614C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A55DB"/>
    <w:multiLevelType w:val="hybridMultilevel"/>
    <w:tmpl w:val="04C8B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FE40FC"/>
    <w:multiLevelType w:val="hybridMultilevel"/>
    <w:tmpl w:val="F538F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836E38"/>
    <w:multiLevelType w:val="hybridMultilevel"/>
    <w:tmpl w:val="77E4E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0841A5"/>
    <w:multiLevelType w:val="hybridMultilevel"/>
    <w:tmpl w:val="35EE3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20B"/>
    <w:rsid w:val="002614C4"/>
    <w:rsid w:val="00A460D2"/>
    <w:rsid w:val="00A62C81"/>
    <w:rsid w:val="00BD3D80"/>
    <w:rsid w:val="00DA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4C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6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61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4C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6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61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2764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2O14</cp:lastModifiedBy>
  <cp:revision>2</cp:revision>
  <dcterms:created xsi:type="dcterms:W3CDTF">2022-12-06T11:31:00Z</dcterms:created>
  <dcterms:modified xsi:type="dcterms:W3CDTF">2022-12-06T11:31:00Z</dcterms:modified>
</cp:coreProperties>
</file>