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DA" w:rsidRDefault="00094CDA" w:rsidP="00094CDA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رسالة الاستفسار  </w:t>
      </w:r>
    </w:p>
    <w:p w:rsidR="00094CDA" w:rsidRDefault="00094CDA" w:rsidP="00094CD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Letters of Enquiry</w:t>
      </w:r>
    </w:p>
    <w:p w:rsidR="005077E0" w:rsidRDefault="00094CDA" w:rsidP="00094CDA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Enquiry letters are the letters that ask about information about a production or a service</w:t>
      </w:r>
      <w:r w:rsidRPr="0013102B">
        <w:rPr>
          <w:rFonts w:asciiTheme="majorBidi" w:eastAsia="Times New Roman" w:hAnsiTheme="majorBidi" w:cstheme="majorBidi"/>
          <w:color w:val="232323"/>
          <w:sz w:val="28"/>
          <w:szCs w:val="28"/>
        </w:rPr>
        <w:t>. The purpose of the letter is to obtain the information or object requested.</w:t>
      </w:r>
      <w:r>
        <w:rPr>
          <w:rFonts w:asciiTheme="majorBidi" w:eastAsia="Times New Roman" w:hAnsiTheme="majorBidi" w:cstheme="majorBidi"/>
          <w:color w:val="232323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They are written due to noticing a trade exhibition, a firm catalogue or an advertisement in a newspaper or a magazine.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94CDA" w:rsidRDefault="00094CDA" w:rsidP="00094CDA">
      <w:pPr>
        <w:spacing w:before="100" w:beforeAutospacing="1" w:after="100" w:afterAutospacing="1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الاستفسار هي الرسالة التي تسأل عن  معلومات حول منتج او خدمة معينة. وهي على نوعين (استفسار اولي واستفسار اعتيادي) ويكون ترتيب الرسالة في السؤال كما يلي (سندرس الاستفسار ال</w:t>
      </w:r>
      <w:r w:rsidR="00621232">
        <w:rPr>
          <w:rFonts w:asciiTheme="majorBidi" w:hAnsiTheme="majorBidi" w:cstheme="majorBidi" w:hint="cs"/>
          <w:sz w:val="28"/>
          <w:szCs w:val="28"/>
          <w:rtl/>
        </w:rPr>
        <w:t>اولي فقط لضيق الوقت)</w:t>
      </w:r>
    </w:p>
    <w:p w:rsidR="00094CDA" w:rsidRPr="00094CDA" w:rsidRDefault="00094CDA" w:rsidP="00094CDA">
      <w:pPr>
        <w:tabs>
          <w:tab w:val="left" w:pos="566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94CDA">
        <w:rPr>
          <w:rFonts w:asciiTheme="majorBidi" w:hAnsiTheme="majorBidi" w:cstheme="majorBidi"/>
          <w:sz w:val="28"/>
          <w:szCs w:val="28"/>
          <w:lang w:bidi="ar-IQ"/>
        </w:rPr>
        <w:t>Q1-</w:t>
      </w:r>
      <w:r w:rsidRPr="00094CDA">
        <w:rPr>
          <w:rFonts w:asciiTheme="majorBidi" w:hAnsiTheme="majorBidi" w:cstheme="majorBidi"/>
          <w:sz w:val="28"/>
          <w:szCs w:val="28"/>
        </w:rPr>
        <w:t xml:space="preserve"> Write a first enquiry:                                         </w:t>
      </w:r>
    </w:p>
    <w:p w:rsidR="00094CDA" w:rsidRDefault="00094CDA" w:rsidP="00094CD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  <w:lang w:bidi="ar-IQ"/>
        </w:rPr>
      </w:pP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 Al-Rammahy Co. for Constructional Materials, Imad Al-Muhandis, Al-Jinan Building, Al-Radhy St., Iraq, city centre, Al-Zahraa Q., Fax:67543, Najaf, </w:t>
      </w:r>
      <w:r w:rsidRPr="00094CDA">
        <w:rPr>
          <w:rFonts w:asciiTheme="majorBidi" w:hAnsiTheme="majorBidi" w:cstheme="majorBidi"/>
          <w:b/>
          <w:bCs/>
          <w:sz w:val="28"/>
          <w:szCs w:val="28"/>
          <w:highlight w:val="yellow"/>
          <w:lang w:bidi="ar-IQ"/>
        </w:rPr>
        <w:t>write to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Dr. Hashim Al-Kinany, Al-Murooj Al-Khadhraa Group, Mosul, Al-Milad Q., Second Floor, Al-Sayed St., Al-Kinany Building, Al-Wihda Sq., </w:t>
      </w:r>
      <w:r w:rsidRPr="00094CDA">
        <w:rPr>
          <w:rFonts w:asciiTheme="majorBidi" w:hAnsiTheme="majorBidi" w:cstheme="majorBidi"/>
          <w:b/>
          <w:bCs/>
          <w:sz w:val="28"/>
          <w:szCs w:val="28"/>
          <w:highlight w:val="yellow"/>
          <w:lang w:bidi="ar-IQ"/>
        </w:rPr>
        <w:t>asking about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samples and catalogue of different materials required for building </w:t>
      </w:r>
      <w:r w:rsidRPr="00094CDA">
        <w:rPr>
          <w:rFonts w:asciiTheme="majorBidi" w:hAnsiTheme="majorBidi" w:cstheme="majorBidi"/>
          <w:b/>
          <w:bCs/>
          <w:sz w:val="28"/>
          <w:szCs w:val="28"/>
          <w:highlight w:val="yellow"/>
          <w:lang w:bidi="ar-IQ"/>
        </w:rPr>
        <w:t>advertised in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Al Naseem Magazine of 13-8-2017.Date is on 21-11-2017.Ref. is 654/1.Re. is " An Enquiry". Ps. is "The amount is very limited". C.C. is 6.Enc. is 7.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Signature is by I. Al-Muhandis.</w:t>
      </w:r>
    </w:p>
    <w:p w:rsidR="00094CDA" w:rsidRDefault="00094CDA" w:rsidP="00094CD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 w:rsidRPr="00094CDA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تذكر الكلمات باللون الاصفر</w:t>
      </w:r>
      <w:r w:rsidRPr="00094CD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94CDA">
        <w:rPr>
          <w:rFonts w:asciiTheme="majorBidi" w:hAnsiTheme="majorBidi" w:cstheme="majorBidi" w:hint="cs"/>
          <w:sz w:val="28"/>
          <w:szCs w:val="28"/>
          <w:highlight w:val="yellow"/>
          <w:rtl/>
        </w:rPr>
        <w:t>اعلاه</w:t>
      </w:r>
    </w:p>
    <w:p w:rsidR="00094CDA" w:rsidRDefault="00094CDA" w:rsidP="00094CD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خطوات الحل:</w:t>
      </w:r>
    </w:p>
    <w:p w:rsidR="005033CA" w:rsidRDefault="00094CDA" w:rsidP="00094CD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لغرض الاجابة عن سؤال رسالة الاستفسار سيكون ترتيب الاجزاء بالطريقة نفسها التي رتبنا بها اجزاء الرسالة التجارية. وستكون طريقة تقسيم السؤال لتحديد الاجزاء كما يلي</w:t>
      </w:r>
      <w:r w:rsidR="005033CA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3CA" w:rsidRDefault="005033CA" w:rsidP="00094CD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1-البداية تمثل اسم ومعلومات المرسل والتي ستنتهي عند الفعل </w:t>
      </w:r>
    </w:p>
    <w:p w:rsidR="005033CA" w:rsidRDefault="005033CA" w:rsidP="005033C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1F510C">
        <w:rPr>
          <w:rFonts w:asciiTheme="majorBidi" w:hAnsiTheme="majorBidi" w:cstheme="majorBidi"/>
          <w:sz w:val="28"/>
          <w:szCs w:val="28"/>
          <w:highlight w:val="yellow"/>
        </w:rPr>
        <w:t>(write to) or (writes to)</w:t>
      </w:r>
    </w:p>
    <w:p w:rsidR="005033CA" w:rsidRDefault="005033CA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ولهذا الفعل فائدة اخرى وهي انه اذا احتوى على حرف </w:t>
      </w:r>
    </w:p>
    <w:p w:rsidR="005033CA" w:rsidRDefault="005033CA" w:rsidP="005033C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1F510C">
        <w:rPr>
          <w:rFonts w:asciiTheme="majorBidi" w:hAnsiTheme="majorBidi" w:cstheme="majorBidi"/>
          <w:sz w:val="28"/>
          <w:szCs w:val="28"/>
          <w:highlight w:val="yellow"/>
        </w:rPr>
        <w:t>S</w:t>
      </w:r>
    </w:p>
    <w:p w:rsidR="005033CA" w:rsidRDefault="005033CA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فهذا يعني ان المرسل مفرد ،وبخلافة فان المرسل جمع.</w:t>
      </w:r>
    </w:p>
    <w:p w:rsidR="005033CA" w:rsidRDefault="005033CA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2-نجد بعد الفعل السابق (والذي يعني يكتب الى) اسم ومعلومات المستلم  والتي ستنتهي عنده عبارة </w:t>
      </w:r>
    </w:p>
    <w:p w:rsidR="005033CA" w:rsidRDefault="005033CA" w:rsidP="005033C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1F510C">
        <w:rPr>
          <w:rFonts w:asciiTheme="majorBidi" w:hAnsiTheme="majorBidi" w:cstheme="majorBidi"/>
          <w:sz w:val="28"/>
          <w:szCs w:val="28"/>
          <w:highlight w:val="yellow"/>
        </w:rPr>
        <w:t>asking about / enquiring about</w:t>
      </w:r>
    </w:p>
    <w:p w:rsidR="005033CA" w:rsidRDefault="005033CA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والتي تعني ( يستفسر عن)</w:t>
      </w:r>
    </w:p>
    <w:p w:rsidR="005033CA" w:rsidRDefault="005033CA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3-نجد بعد العبارة السابقة الطلبات والمواد المستفسر عنها والتي ستنتهي عند كلمة :</w:t>
      </w:r>
    </w:p>
    <w:p w:rsidR="005033CA" w:rsidRDefault="005033CA" w:rsidP="005033C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1F510C">
        <w:rPr>
          <w:rFonts w:asciiTheme="majorBidi" w:hAnsiTheme="majorBidi" w:cstheme="majorBidi"/>
          <w:sz w:val="28"/>
          <w:szCs w:val="28"/>
          <w:highlight w:val="yellow"/>
        </w:rPr>
        <w:t>advertised in</w:t>
      </w:r>
    </w:p>
    <w:p w:rsidR="005033CA" w:rsidRDefault="005033CA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والتي تعني (المعلنة في) حيث سنجد بعدها اسم الجريدة او المجلة المعلن فيها وتاريخها.</w:t>
      </w:r>
    </w:p>
    <w:p w:rsidR="005033CA" w:rsidRDefault="005033CA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4-يتم التعرف على بقية الاجزاء من خلال مصطلحاتها السابقة مثل:</w:t>
      </w:r>
    </w:p>
    <w:p w:rsidR="005033CA" w:rsidRDefault="005033CA" w:rsidP="005033C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1F510C">
        <w:rPr>
          <w:rFonts w:asciiTheme="majorBidi" w:hAnsiTheme="majorBidi" w:cstheme="majorBidi"/>
          <w:sz w:val="28"/>
          <w:szCs w:val="28"/>
          <w:highlight w:val="yellow"/>
        </w:rPr>
        <w:t>Re. , Ref., Signature, Date, Enc. …etc.</w:t>
      </w:r>
    </w:p>
    <w:p w:rsidR="005033CA" w:rsidRDefault="00FA3F50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جسد رسالة الاستفسار الاولي:</w:t>
      </w:r>
    </w:p>
    <w:p w:rsidR="00FA3F50" w:rsidRDefault="00FA3F50" w:rsidP="005033C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كما ذكرت في محاضرات سابقة ان هنالك لكل رسالة جسد خاص بها. وجسد رسالة الاستفسار الاولي هو الاتي:</w:t>
      </w:r>
    </w:p>
    <w:p w:rsidR="00FA3F50" w:rsidRDefault="00FA3F50" w:rsidP="00FA3F50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We/I have obtained your name from………… and would like to enquire whether you can send us/me your………….</w:t>
      </w:r>
    </w:p>
    <w:p w:rsidR="00FA3F50" w:rsidRDefault="00FA3F50" w:rsidP="00FA3F50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حيث سنضع اسم  وتاريخ المجلة في الفراغ الاول اما في الفراغ الثاني فسنضع الطلبات والمواد المستفسر عنها.</w:t>
      </w:r>
    </w:p>
    <w:p w:rsidR="00FA3F50" w:rsidRDefault="00FA3F50" w:rsidP="00FA3F50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وعند تطبيق ذلك على المثال اعلاه سيكون الجسد كما يلي:</w:t>
      </w:r>
    </w:p>
    <w:p w:rsidR="00FA3F50" w:rsidRDefault="00FA3F50" w:rsidP="00FA3F50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We have obtained your name from Al-Naseem Magazine of  August  13,2017 and would like to enquire whether you can send us your 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>samples and catalogue of different materials required for building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033CA" w:rsidRDefault="005033CA" w:rsidP="005033C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5033CA" w:rsidRDefault="005033CA" w:rsidP="00094CD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94CDA" w:rsidRDefault="00094CDA" w:rsidP="00094CDA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094CDA" w:rsidRDefault="00752FC9" w:rsidP="00752FC9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الجزء الثاني من المحاضرة: القراءات المحاسبية</w:t>
      </w:r>
    </w:p>
    <w:p w:rsidR="00752FC9" w:rsidRDefault="00752FC9" w:rsidP="00752FC9">
      <w:pPr>
        <w:spacing w:before="100" w:beforeAutospacing="1" w:after="100" w:afterAutospacing="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هذه المادة يجب ان تترجم وتحفظ</w:t>
      </w:r>
    </w:p>
    <w:p w:rsidR="00752FC9" w:rsidRPr="009318F9" w:rsidRDefault="00752FC9" w:rsidP="00752FC9">
      <w:pPr>
        <w:tabs>
          <w:tab w:val="left" w:pos="2606"/>
          <w:tab w:val="center" w:pos="4153"/>
        </w:tabs>
        <w:spacing w:line="240" w:lineRule="auto"/>
        <w:rPr>
          <w:b/>
          <w:bCs/>
          <w:i/>
          <w:iCs/>
          <w:sz w:val="28"/>
          <w:szCs w:val="28"/>
          <w:lang w:bidi="ar-IQ"/>
        </w:rPr>
      </w:pPr>
      <w:r w:rsidRPr="009318F9">
        <w:rPr>
          <w:b/>
          <w:bCs/>
          <w:i/>
          <w:iCs/>
          <w:sz w:val="28"/>
          <w:szCs w:val="28"/>
          <w:lang w:bidi="ar-IQ"/>
        </w:rPr>
        <w:t>Conceptual Framework of Accounting:</w:t>
      </w:r>
      <w:r>
        <w:rPr>
          <w:rFonts w:hint="cs"/>
          <w:b/>
          <w:bCs/>
          <w:i/>
          <w:iCs/>
          <w:sz w:val="28"/>
          <w:szCs w:val="28"/>
          <w:rtl/>
          <w:lang w:bidi="ar-IQ"/>
        </w:rPr>
        <w:t>الاطار المفاهيمي للمحاسبة</w:t>
      </w:r>
    </w:p>
    <w:p w:rsidR="00752FC9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 xml:space="preserve">          The Financial Accounting Standard Board has developed a conceptual framework which consists of the following three levels: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1-Objectives of financial reporting.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>2-Qualitative characteristics of Accounting information and elements of financial statement.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3-Operating guidelines ( Assumptions, principles and constraints).</w:t>
      </w:r>
    </w:p>
    <w:p w:rsidR="00752FC9" w:rsidRPr="009318F9" w:rsidRDefault="00752FC9" w:rsidP="00752FC9">
      <w:pPr>
        <w:tabs>
          <w:tab w:val="left" w:pos="2606"/>
          <w:tab w:val="center" w:pos="4153"/>
        </w:tabs>
        <w:spacing w:line="240" w:lineRule="auto"/>
        <w:rPr>
          <w:b/>
          <w:bCs/>
          <w:sz w:val="28"/>
          <w:szCs w:val="28"/>
          <w:lang w:bidi="ar-IQ"/>
        </w:rPr>
      </w:pPr>
      <w:r w:rsidRPr="009318F9">
        <w:rPr>
          <w:b/>
          <w:bCs/>
          <w:sz w:val="28"/>
          <w:szCs w:val="28"/>
          <w:lang w:bidi="ar-IQ"/>
        </w:rPr>
        <w:t>First Level: Basic Objectives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 xml:space="preserve">              Financial reporting should provide information that: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>a-is useful for investors ,creditors and other users in making rational investment, credit and similar decisions.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>b-helps present and potential investors ,creditors and other users in assessing the amounts, timing and uncertainty of prospective cash receipts.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>c-portrays the economic resources of an enterprise, the claims to these resources and the effects of transactions, events and circumstances that change these resources.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9318F9">
        <w:rPr>
          <w:b/>
          <w:bCs/>
          <w:sz w:val="28"/>
          <w:szCs w:val="28"/>
          <w:lang w:bidi="ar-IQ"/>
        </w:rPr>
        <w:t>Second Level:</w:t>
      </w:r>
      <w:r w:rsidRPr="00DD6B41">
        <w:rPr>
          <w:sz w:val="28"/>
          <w:szCs w:val="28"/>
          <w:lang w:bidi="ar-IQ"/>
        </w:rPr>
        <w:t xml:space="preserve"> Qualitative Characteristics of Accounting Information and Elements of Financial Statement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A-Qualitative Ch</w:t>
      </w:r>
      <w:r>
        <w:rPr>
          <w:sz w:val="28"/>
          <w:szCs w:val="28"/>
          <w:lang w:bidi="ar-IQ"/>
        </w:rPr>
        <w:t>aracteristics are of two kinds: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1-Primary: we have two: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 xml:space="preserve">-Relevance: Accounting information must be capable of making a difference in a decision. There are three ingredients: 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 xml:space="preserve">  " Timelines, Feedback Value, Predicative Value"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>-Reliability: the quality of information that gives assurance that is free of error and bias. There are three ingredients: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 xml:space="preserve">  "Verifiability, Representat</w:t>
      </w:r>
      <w:r>
        <w:rPr>
          <w:sz w:val="28"/>
          <w:szCs w:val="28"/>
          <w:lang w:bidi="ar-IQ"/>
        </w:rPr>
        <w:t>ional Faithfulness, Neutrality"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 xml:space="preserve">2-Secondary: we have two 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 xml:space="preserve">-Comparability: is the ability to compare Accounting information of different companies because they use </w:t>
      </w:r>
      <w:r>
        <w:rPr>
          <w:sz w:val="28"/>
          <w:szCs w:val="28"/>
          <w:lang w:bidi="ar-IQ"/>
        </w:rPr>
        <w:t>the same Accounting principles.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>-Consistency: is using the same Accounting principles and methods from</w:t>
      </w:r>
      <w:r>
        <w:rPr>
          <w:sz w:val="28"/>
          <w:szCs w:val="28"/>
          <w:lang w:bidi="ar-IQ"/>
        </w:rPr>
        <w:t xml:space="preserve"> year to year within a company.</w:t>
      </w:r>
    </w:p>
    <w:p w:rsidR="00752FC9" w:rsidRPr="00040B14" w:rsidRDefault="00752FC9" w:rsidP="00752FC9">
      <w:pPr>
        <w:tabs>
          <w:tab w:val="left" w:pos="2606"/>
          <w:tab w:val="center" w:pos="4153"/>
        </w:tabs>
        <w:spacing w:line="240" w:lineRule="auto"/>
        <w:rPr>
          <w:b/>
          <w:bCs/>
          <w:sz w:val="28"/>
          <w:szCs w:val="28"/>
          <w:lang w:bidi="ar-IQ"/>
        </w:rPr>
      </w:pPr>
      <w:r w:rsidRPr="009318F9">
        <w:rPr>
          <w:b/>
          <w:bCs/>
          <w:sz w:val="28"/>
          <w:szCs w:val="28"/>
          <w:lang w:bidi="ar-IQ"/>
        </w:rPr>
        <w:t>El</w:t>
      </w:r>
      <w:r>
        <w:rPr>
          <w:b/>
          <w:bCs/>
          <w:sz w:val="28"/>
          <w:szCs w:val="28"/>
          <w:lang w:bidi="ar-IQ"/>
        </w:rPr>
        <w:t>ements of Financial Statements: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DD6B41">
        <w:rPr>
          <w:sz w:val="28"/>
          <w:szCs w:val="28"/>
          <w:lang w:bidi="ar-IQ"/>
        </w:rPr>
        <w:t>( Assets, Liabilities, Equity, Investment by owners, Distributions to owners, Comprehensive Income, Rev</w:t>
      </w:r>
      <w:r>
        <w:rPr>
          <w:sz w:val="28"/>
          <w:szCs w:val="28"/>
          <w:lang w:bidi="ar-IQ"/>
        </w:rPr>
        <w:t>enues, Expenses, Gains, Losses)</w:t>
      </w:r>
    </w:p>
    <w:p w:rsidR="00752FC9" w:rsidRPr="00040B14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rtl/>
          <w:lang w:bidi="ar-IQ"/>
        </w:rPr>
      </w:pPr>
      <w:r w:rsidRPr="009318F9">
        <w:rPr>
          <w:b/>
          <w:bCs/>
          <w:sz w:val="28"/>
          <w:szCs w:val="28"/>
          <w:lang w:bidi="ar-IQ"/>
        </w:rPr>
        <w:t xml:space="preserve">Third Level: </w:t>
      </w:r>
      <w:r w:rsidRPr="00DD6B41">
        <w:rPr>
          <w:sz w:val="28"/>
          <w:szCs w:val="28"/>
          <w:lang w:bidi="ar-IQ"/>
        </w:rPr>
        <w:t>Operating guidelines (Assumptions, Principles and Constraints)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A-Assumptions of Accounting: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1-Economic Entity        2-Going Concern         3-Monetary Unit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4-Periodicity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B-Principles of Accounting: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 xml:space="preserve">1-Historical Cost Principle      2-Revenue Recognition 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 xml:space="preserve">3-Matching Principle    </w:t>
      </w:r>
      <w:r>
        <w:rPr>
          <w:sz w:val="28"/>
          <w:szCs w:val="28"/>
          <w:lang w:bidi="ar-IQ"/>
        </w:rPr>
        <w:t xml:space="preserve">    4-Full Disclosure Principle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C-Constraints of Accounting:</w:t>
      </w:r>
    </w:p>
    <w:p w:rsidR="00752FC9" w:rsidRPr="00DD6B41" w:rsidRDefault="00752FC9" w:rsidP="00752FC9">
      <w:pPr>
        <w:tabs>
          <w:tab w:val="left" w:pos="2606"/>
          <w:tab w:val="center" w:pos="4153"/>
        </w:tabs>
        <w:spacing w:line="240" w:lineRule="auto"/>
        <w:rPr>
          <w:sz w:val="28"/>
          <w:szCs w:val="28"/>
          <w:lang w:bidi="ar-IQ"/>
        </w:rPr>
      </w:pPr>
      <w:r w:rsidRPr="00DD6B41">
        <w:rPr>
          <w:sz w:val="28"/>
          <w:szCs w:val="28"/>
          <w:lang w:bidi="ar-IQ"/>
        </w:rPr>
        <w:t>1-Cost-benefit Relationship       2-Materiality       3-Industry Practices</w:t>
      </w:r>
    </w:p>
    <w:p w:rsidR="00752FC9" w:rsidRDefault="00752FC9" w:rsidP="00752FC9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D6B41">
        <w:rPr>
          <w:sz w:val="28"/>
          <w:szCs w:val="28"/>
          <w:lang w:bidi="ar-IQ"/>
        </w:rPr>
        <w:t>4-Conservitism</w:t>
      </w:r>
    </w:p>
    <w:p w:rsidR="00094CDA" w:rsidRDefault="00094CDA" w:rsidP="00752FC9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094CDA" w:rsidRDefault="00094CDA" w:rsidP="00752FC9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  <w:lang w:bidi="ar-IQ"/>
        </w:rPr>
      </w:pPr>
    </w:p>
    <w:p w:rsidR="00094CDA" w:rsidRDefault="00094CDA" w:rsidP="00094CD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Pr="00094CDA" w:rsidRDefault="00636694" w:rsidP="00636694">
      <w:pPr>
        <w:tabs>
          <w:tab w:val="left" w:pos="566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94CDA">
        <w:rPr>
          <w:rFonts w:asciiTheme="majorBidi" w:hAnsiTheme="majorBidi" w:cstheme="majorBidi"/>
          <w:sz w:val="28"/>
          <w:szCs w:val="28"/>
          <w:lang w:bidi="ar-IQ"/>
        </w:rPr>
        <w:lastRenderedPageBreak/>
        <w:t>Q1-</w:t>
      </w:r>
      <w:r w:rsidRPr="00094CDA">
        <w:rPr>
          <w:rFonts w:asciiTheme="majorBidi" w:hAnsiTheme="majorBidi" w:cstheme="majorBidi"/>
          <w:sz w:val="28"/>
          <w:szCs w:val="28"/>
        </w:rPr>
        <w:t xml:space="preserve"> Write a first enquiry:                                         </w:t>
      </w:r>
    </w:p>
    <w:p w:rsidR="00636694" w:rsidRDefault="00636694" w:rsidP="00636694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  <w:lang w:bidi="ar-IQ"/>
        </w:rPr>
      </w:pP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 Al-Rammahy Co. for Constructional Materials, Imad Al-Muhandis, Al-Jinan Building, Al-Radhy St., Iraq, city centre, Al-Zahraa Q., Fax:67543, Najaf, </w:t>
      </w:r>
      <w:r w:rsidRPr="00094CDA">
        <w:rPr>
          <w:rFonts w:asciiTheme="majorBidi" w:hAnsiTheme="majorBidi" w:cstheme="majorBidi"/>
          <w:b/>
          <w:bCs/>
          <w:sz w:val="28"/>
          <w:szCs w:val="28"/>
          <w:highlight w:val="yellow"/>
          <w:lang w:bidi="ar-IQ"/>
        </w:rPr>
        <w:t>write to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Dr. Hashim Al-Kinany, Al-Murooj Al-Khadhraa Group, Mosul, Al-Milad Q., Second Floor, Al-Sayed St., Al-Kinany Building, Al-Wihda Sq., </w:t>
      </w:r>
      <w:r w:rsidRPr="00094CDA">
        <w:rPr>
          <w:rFonts w:asciiTheme="majorBidi" w:hAnsiTheme="majorBidi" w:cstheme="majorBidi"/>
          <w:b/>
          <w:bCs/>
          <w:sz w:val="28"/>
          <w:szCs w:val="28"/>
          <w:highlight w:val="yellow"/>
          <w:lang w:bidi="ar-IQ"/>
        </w:rPr>
        <w:t>asking about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samples and catalogue of different materials required for building </w:t>
      </w:r>
      <w:r w:rsidRPr="00094CDA">
        <w:rPr>
          <w:rFonts w:asciiTheme="majorBidi" w:hAnsiTheme="majorBidi" w:cstheme="majorBidi"/>
          <w:b/>
          <w:bCs/>
          <w:sz w:val="28"/>
          <w:szCs w:val="28"/>
          <w:highlight w:val="yellow"/>
          <w:lang w:bidi="ar-IQ"/>
        </w:rPr>
        <w:t>advertised in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 xml:space="preserve"> Al Naseem Magazine of 13-8-2017.Date is on 21-11-2017.Ref. is 654/1.Re. is " An Enquiry". Ps. is "The amount is very limited". C.C. is 6.Enc. is 7.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Signature is by I. Al-Muhandis.</w:t>
      </w:r>
    </w:p>
    <w:p w:rsidR="00094CDA" w:rsidRDefault="00094CDA" w:rsidP="00094CDA">
      <w:pPr>
        <w:spacing w:before="100" w:beforeAutospacing="1" w:after="100" w:afterAutospacing="1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Default="00636694" w:rsidP="00094CDA">
      <w:pPr>
        <w:spacing w:before="100" w:beforeAutospacing="1" w:after="100" w:afterAutospacing="1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Imad Al-Muhandis</w:t>
      </w: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Al-Rammahy Co. for Constructional</w:t>
      </w: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Materials</w:t>
      </w: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Al-Jinan Building, Al-Zahraa Q.,</w:t>
      </w: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Al-Radhy St.,City Center,</w:t>
      </w: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Najaf, Iraq</w:t>
      </w: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Fax:67543</w:t>
      </w: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November  21,2017                                                                       Ref. :654/1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Dr. Hashim Al-Kinany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Al-Murooj Al-Khadhraa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 xml:space="preserve">            Group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Second Floor,Al-Kinany Build-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ing,Al-Wihda Sq.,Al-Milad Q.,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 xml:space="preserve">   Al-Sayed St.,Mosul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 xml:space="preserve">         Dear Dr. Al-Kinany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 xml:space="preserve">                                                       Re. :An Enquiry</w:t>
      </w:r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lastRenderedPageBreak/>
        <w:t xml:space="preserve">              We have obtained your name from Al-Naseem Magazine of  August  13,2017 and would like to enquire whether you can send us your </w:t>
      </w:r>
      <w:r w:rsidRPr="00094CDA">
        <w:rPr>
          <w:rFonts w:asciiTheme="majorBidi" w:hAnsiTheme="majorBidi" w:cstheme="majorBidi"/>
          <w:sz w:val="28"/>
          <w:szCs w:val="28"/>
          <w:lang w:bidi="ar-IQ"/>
        </w:rPr>
        <w:t>samples and catalogue of different materials required for building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Sincerely yours</w:t>
      </w:r>
    </w:p>
    <w:p w:rsidR="00636694" w:rsidRDefault="00636694" w:rsidP="00636694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I</w:t>
      </w:r>
    </w:p>
    <w:p w:rsidR="00636694" w:rsidRDefault="00636694" w:rsidP="00160558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 w:rsidRPr="00160558">
        <w:rPr>
          <w:rFonts w:asciiTheme="majorBidi" w:eastAsia="Times New Roman" w:hAnsiTheme="majorBidi" w:cstheme="majorBidi"/>
          <w:color w:val="232323"/>
          <w:sz w:val="28"/>
          <w:szCs w:val="28"/>
        </w:rPr>
        <w:t>Al-Muhandis</w:t>
      </w:r>
    </w:p>
    <w:p w:rsidR="00160558" w:rsidRDefault="00160558" w:rsidP="00160558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160558" w:rsidRDefault="00160558" w:rsidP="00160558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160558" w:rsidRDefault="00160558" w:rsidP="00160558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160558" w:rsidRDefault="00160558" w:rsidP="00160558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-Enc. :7</w:t>
      </w:r>
    </w:p>
    <w:p w:rsidR="00160558" w:rsidRPr="00160558" w:rsidRDefault="00160558" w:rsidP="00160558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>-C.C. :6</w:t>
      </w:r>
      <w:bookmarkStart w:id="0" w:name="_GoBack"/>
      <w:bookmarkEnd w:id="0"/>
    </w:p>
    <w:p w:rsidR="00636694" w:rsidRDefault="00636694" w:rsidP="00636694">
      <w:pPr>
        <w:spacing w:after="0" w:line="240" w:lineRule="auto"/>
        <w:rPr>
          <w:rFonts w:asciiTheme="majorBidi" w:eastAsia="Times New Roman" w:hAnsiTheme="majorBidi" w:cstheme="majorBidi"/>
          <w:color w:val="232323"/>
          <w:sz w:val="28"/>
          <w:szCs w:val="28"/>
        </w:rPr>
      </w:pPr>
      <w:r>
        <w:rPr>
          <w:rFonts w:asciiTheme="majorBidi" w:eastAsia="Times New Roman" w:hAnsiTheme="majorBidi" w:cstheme="majorBidi"/>
          <w:color w:val="232323"/>
          <w:sz w:val="28"/>
          <w:szCs w:val="28"/>
        </w:rPr>
        <w:t xml:space="preserve">  </w:t>
      </w:r>
    </w:p>
    <w:p w:rsidR="00636694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</w:rPr>
      </w:pPr>
    </w:p>
    <w:p w:rsidR="00636694" w:rsidRPr="00094CDA" w:rsidRDefault="00636694" w:rsidP="00636694">
      <w:pPr>
        <w:spacing w:after="0" w:line="240" w:lineRule="auto"/>
        <w:jc w:val="center"/>
        <w:rPr>
          <w:rFonts w:asciiTheme="majorBidi" w:eastAsia="Times New Roman" w:hAnsiTheme="majorBidi" w:cstheme="majorBidi"/>
          <w:color w:val="232323"/>
          <w:sz w:val="28"/>
          <w:szCs w:val="28"/>
          <w:rtl/>
        </w:rPr>
      </w:pPr>
    </w:p>
    <w:sectPr w:rsidR="00636694" w:rsidRPr="0009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253"/>
    <w:multiLevelType w:val="hybridMultilevel"/>
    <w:tmpl w:val="D3F604BE"/>
    <w:lvl w:ilvl="0" w:tplc="A16E76E0">
      <w:start w:val="1"/>
      <w:numFmt w:val="upperRoman"/>
      <w:lvlText w:val="%1."/>
      <w:lvlJc w:val="left"/>
      <w:pPr>
        <w:ind w:left="930" w:hanging="72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71B100E"/>
    <w:multiLevelType w:val="hybridMultilevel"/>
    <w:tmpl w:val="89061870"/>
    <w:lvl w:ilvl="0" w:tplc="F3C6B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B206B"/>
    <w:multiLevelType w:val="hybridMultilevel"/>
    <w:tmpl w:val="1E96BB1C"/>
    <w:lvl w:ilvl="0" w:tplc="4B50B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2E"/>
    <w:rsid w:val="0006472E"/>
    <w:rsid w:val="00094CDA"/>
    <w:rsid w:val="00160558"/>
    <w:rsid w:val="001F510C"/>
    <w:rsid w:val="00345878"/>
    <w:rsid w:val="00471DB8"/>
    <w:rsid w:val="005033CA"/>
    <w:rsid w:val="005D0F99"/>
    <w:rsid w:val="00621232"/>
    <w:rsid w:val="00636694"/>
    <w:rsid w:val="00752FC9"/>
    <w:rsid w:val="00EC607A"/>
    <w:rsid w:val="00FA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9</cp:revision>
  <dcterms:created xsi:type="dcterms:W3CDTF">2020-06-22T15:03:00Z</dcterms:created>
  <dcterms:modified xsi:type="dcterms:W3CDTF">2020-06-24T14:47:00Z</dcterms:modified>
</cp:coreProperties>
</file>